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A1" w:rsidRPr="00F921A1" w:rsidRDefault="00F921A1" w:rsidP="00F921A1">
      <w:pPr>
        <w:spacing w:after="0" w:line="240" w:lineRule="auto"/>
        <w:rPr>
          <w:rFonts w:ascii="Arial" w:eastAsia="Times New Roman" w:hAnsi="Arial" w:cs="Arial"/>
          <w:color w:val="000000"/>
          <w:sz w:val="18"/>
          <w:szCs w:val="18"/>
          <w:lang w:eastAsia="de-DE"/>
        </w:rPr>
      </w:pPr>
      <w:bookmarkStart w:id="0" w:name="_GoBack"/>
      <w:bookmarkEnd w:id="0"/>
    </w:p>
    <w:p w:rsidR="00F921A1" w:rsidRPr="00F921A1" w:rsidRDefault="00F921A1" w:rsidP="00F921A1">
      <w:pPr>
        <w:pBdr>
          <w:bottom w:val="single" w:sz="6" w:space="1" w:color="auto"/>
        </w:pBdr>
        <w:spacing w:after="0" w:line="240" w:lineRule="auto"/>
        <w:jc w:val="center"/>
        <w:rPr>
          <w:rFonts w:ascii="Arial" w:eastAsia="Times New Roman" w:hAnsi="Arial" w:cs="Arial"/>
          <w:vanish/>
          <w:sz w:val="16"/>
          <w:szCs w:val="16"/>
          <w:lang w:eastAsia="de-DE"/>
        </w:rPr>
      </w:pPr>
      <w:r w:rsidRPr="00F921A1">
        <w:rPr>
          <w:rFonts w:ascii="Arial" w:eastAsia="Times New Roman" w:hAnsi="Arial" w:cs="Arial"/>
          <w:vanish/>
          <w:sz w:val="16"/>
          <w:szCs w:val="16"/>
          <w:lang w:eastAsia="de-DE"/>
        </w:rPr>
        <w:t>Formularbeginn</w:t>
      </w:r>
    </w:p>
    <w:tbl>
      <w:tblPr>
        <w:tblW w:w="9462" w:type="dxa"/>
        <w:tblCellSpacing w:w="15" w:type="dxa"/>
        <w:tblBorders>
          <w:top w:val="single" w:sz="6" w:space="0" w:color="F5F5F5"/>
          <w:right w:val="single" w:sz="6" w:space="0" w:color="F5F5F5"/>
        </w:tblBorders>
        <w:tblCellMar>
          <w:left w:w="0" w:type="dxa"/>
          <w:right w:w="0" w:type="dxa"/>
        </w:tblCellMar>
        <w:tblLook w:val="04A0" w:firstRow="1" w:lastRow="0" w:firstColumn="1" w:lastColumn="0" w:noHBand="0" w:noVBand="1"/>
      </w:tblPr>
      <w:tblGrid>
        <w:gridCol w:w="9462"/>
      </w:tblGrid>
      <w:tr w:rsidR="00F921A1" w:rsidRPr="00F921A1" w:rsidTr="00B54632">
        <w:trPr>
          <w:tblCellSpacing w:w="15" w:type="dxa"/>
        </w:trPr>
        <w:tc>
          <w:tcPr>
            <w:tcW w:w="0" w:type="auto"/>
            <w:tcBorders>
              <w:left w:val="single" w:sz="6" w:space="0" w:color="F5F5F5"/>
              <w:bottom w:val="single" w:sz="6" w:space="0" w:color="F5F5F5"/>
            </w:tcBorders>
            <w:tcMar>
              <w:top w:w="150" w:type="dxa"/>
              <w:left w:w="150" w:type="dxa"/>
              <w:bottom w:w="150" w:type="dxa"/>
              <w:right w:w="150" w:type="dxa"/>
            </w:tcMar>
            <w:vAlign w:val="center"/>
            <w:hideMark/>
          </w:tcPr>
          <w:p w:rsidR="008F32C8" w:rsidRDefault="008F32C8" w:rsidP="00F921A1">
            <w:pPr>
              <w:spacing w:before="100" w:beforeAutospacing="1" w:after="100" w:afterAutospacing="1" w:line="240" w:lineRule="auto"/>
              <w:ind w:left="150" w:right="150"/>
              <w:rPr>
                <w:rFonts w:ascii="Arial" w:eastAsia="Times New Roman" w:hAnsi="Arial" w:cs="Arial"/>
                <w:b/>
                <w:bCs/>
                <w:color w:val="000000"/>
                <w:sz w:val="18"/>
                <w:szCs w:val="18"/>
                <w:lang w:eastAsia="de-DE"/>
              </w:rPr>
            </w:pPr>
          </w:p>
          <w:p w:rsidR="008F32C8" w:rsidRDefault="008F32C8" w:rsidP="00F921A1">
            <w:pPr>
              <w:spacing w:before="100" w:beforeAutospacing="1" w:after="100" w:afterAutospacing="1" w:line="240" w:lineRule="auto"/>
              <w:ind w:left="150" w:right="150"/>
              <w:rPr>
                <w:rFonts w:ascii="Arial" w:eastAsia="Times New Roman" w:hAnsi="Arial" w:cs="Arial"/>
                <w:b/>
                <w:bCs/>
                <w:color w:val="000000"/>
                <w:sz w:val="18"/>
                <w:szCs w:val="18"/>
                <w:lang w:eastAsia="de-DE"/>
              </w:rPr>
            </w:pPr>
          </w:p>
          <w:p w:rsidR="00F921A1" w:rsidRPr="00F921A1" w:rsidRDefault="00F921A1" w:rsidP="00F921A1">
            <w:pPr>
              <w:spacing w:before="100" w:beforeAutospacing="1" w:after="100" w:afterAutospacing="1" w:line="240" w:lineRule="auto"/>
              <w:ind w:left="150" w:right="150"/>
              <w:rPr>
                <w:rFonts w:ascii="Arial" w:eastAsia="Times New Roman" w:hAnsi="Arial" w:cs="Arial"/>
                <w:color w:val="000000"/>
                <w:sz w:val="18"/>
                <w:szCs w:val="18"/>
                <w:lang w:eastAsia="de-DE"/>
              </w:rPr>
            </w:pPr>
            <w:r w:rsidRPr="00F921A1">
              <w:rPr>
                <w:rFonts w:ascii="Arial" w:eastAsia="Times New Roman" w:hAnsi="Arial" w:cs="Arial"/>
                <w:b/>
                <w:bCs/>
                <w:color w:val="000000"/>
                <w:sz w:val="18"/>
                <w:szCs w:val="18"/>
                <w:lang w:eastAsia="de-DE"/>
              </w:rPr>
              <w:t>1. Nebengebühren sind</w:t>
            </w:r>
            <w:r w:rsidRPr="00F921A1">
              <w:rPr>
                <w:rFonts w:ascii="Arial" w:eastAsia="Times New Roman" w:hAnsi="Arial" w:cs="Arial"/>
                <w:b/>
                <w:bCs/>
                <w:color w:val="000000"/>
                <w:sz w:val="18"/>
                <w:szCs w:val="18"/>
                <w:lang w:eastAsia="de-DE"/>
              </w:rPr>
              <w:br/>
              <w:t xml:space="preserve">•  </w:t>
            </w:r>
            <w:r w:rsidRPr="00F921A1">
              <w:rPr>
                <w:rFonts w:ascii="Arial" w:eastAsia="Times New Roman" w:hAnsi="Arial" w:cs="Arial"/>
                <w:color w:val="000000"/>
                <w:sz w:val="18"/>
                <w:szCs w:val="18"/>
                <w:lang w:eastAsia="de-DE"/>
              </w:rPr>
              <w:t>Vergütung für MDL</w:t>
            </w:r>
            <w:r w:rsidRPr="00F921A1">
              <w:rPr>
                <w:rFonts w:ascii="Arial" w:eastAsia="Times New Roman" w:hAnsi="Arial" w:cs="Arial"/>
                <w:color w:val="000000"/>
                <w:sz w:val="18"/>
                <w:szCs w:val="18"/>
                <w:lang w:eastAsia="de-DE"/>
              </w:rPr>
              <w:br/>
            </w:r>
            <w:r w:rsidRPr="00F921A1">
              <w:rPr>
                <w:rFonts w:ascii="Arial" w:eastAsia="Times New Roman" w:hAnsi="Arial" w:cs="Arial"/>
                <w:b/>
                <w:bCs/>
                <w:color w:val="000000"/>
                <w:sz w:val="18"/>
                <w:szCs w:val="18"/>
                <w:lang w:eastAsia="de-DE"/>
              </w:rPr>
              <w:t>•</w:t>
            </w:r>
            <w:r w:rsidRPr="00F921A1">
              <w:rPr>
                <w:rFonts w:ascii="Arial" w:eastAsia="Times New Roman" w:hAnsi="Arial" w:cs="Arial"/>
                <w:color w:val="000000"/>
                <w:sz w:val="18"/>
                <w:szCs w:val="18"/>
                <w:lang w:eastAsia="de-DE"/>
              </w:rPr>
              <w:t>  Mehrleistungszulage</w:t>
            </w:r>
          </w:p>
          <w:p w:rsidR="00F921A1" w:rsidRPr="00F921A1" w:rsidRDefault="00F921A1" w:rsidP="00F921A1">
            <w:pPr>
              <w:spacing w:before="100" w:beforeAutospacing="1" w:after="100" w:afterAutospacing="1" w:line="240" w:lineRule="auto"/>
              <w:ind w:left="150" w:right="150"/>
              <w:rPr>
                <w:rFonts w:ascii="Arial" w:eastAsia="Times New Roman" w:hAnsi="Arial" w:cs="Arial"/>
                <w:color w:val="000000"/>
                <w:sz w:val="18"/>
                <w:szCs w:val="18"/>
                <w:lang w:eastAsia="de-DE"/>
              </w:rPr>
            </w:pPr>
            <w:r w:rsidRPr="00F921A1">
              <w:rPr>
                <w:rFonts w:ascii="Arial" w:eastAsia="Times New Roman" w:hAnsi="Arial" w:cs="Arial"/>
                <w:b/>
                <w:bCs/>
                <w:color w:val="000000"/>
                <w:sz w:val="18"/>
                <w:szCs w:val="18"/>
                <w:lang w:eastAsia="de-DE"/>
              </w:rPr>
              <w:t>2. Pensionsbeitrag für Nebengebühren</w:t>
            </w:r>
            <w:r w:rsidRPr="00F921A1">
              <w:rPr>
                <w:rFonts w:ascii="Arial" w:eastAsia="Times New Roman" w:hAnsi="Arial" w:cs="Arial"/>
                <w:b/>
                <w:bCs/>
                <w:color w:val="000000"/>
                <w:sz w:val="18"/>
                <w:szCs w:val="18"/>
                <w:lang w:eastAsia="de-DE"/>
              </w:rPr>
              <w:br/>
            </w:r>
            <w:r w:rsidRPr="00F921A1">
              <w:rPr>
                <w:rFonts w:ascii="Arial" w:eastAsia="Times New Roman" w:hAnsi="Arial" w:cs="Arial"/>
                <w:color w:val="000000"/>
                <w:sz w:val="18"/>
                <w:szCs w:val="18"/>
                <w:lang w:eastAsia="de-DE"/>
              </w:rPr>
              <w:t>Für alle anspruchsbegründeten Nebengebühren sind 12,55 % Pensionsbeitrag zu leisten.</w:t>
            </w:r>
            <w:r w:rsidRPr="00F921A1">
              <w:rPr>
                <w:rFonts w:ascii="Arial" w:eastAsia="Times New Roman" w:hAnsi="Arial" w:cs="Arial"/>
                <w:color w:val="000000"/>
                <w:sz w:val="18"/>
                <w:szCs w:val="18"/>
                <w:lang w:eastAsia="de-DE"/>
              </w:rPr>
              <w:br/>
              <w:t>Ab 1. Oktober 2000: 12,45 %; jährlich um 0,10 % sinkend. Ab 1. Jänner 2014 11,05 %.</w:t>
            </w:r>
          </w:p>
          <w:p w:rsidR="00F921A1" w:rsidRPr="00F921A1" w:rsidRDefault="00F921A1" w:rsidP="00F921A1">
            <w:pPr>
              <w:spacing w:before="100" w:beforeAutospacing="1" w:after="100" w:afterAutospacing="1" w:line="240" w:lineRule="auto"/>
              <w:ind w:left="150" w:right="150"/>
              <w:rPr>
                <w:rFonts w:ascii="Arial" w:eastAsia="Times New Roman" w:hAnsi="Arial" w:cs="Arial"/>
                <w:color w:val="000000"/>
                <w:sz w:val="18"/>
                <w:szCs w:val="18"/>
                <w:lang w:eastAsia="de-DE"/>
              </w:rPr>
            </w:pPr>
            <w:r w:rsidRPr="00F921A1">
              <w:rPr>
                <w:rFonts w:ascii="Arial" w:eastAsia="Times New Roman" w:hAnsi="Arial" w:cs="Arial"/>
                <w:b/>
                <w:bCs/>
                <w:color w:val="000000"/>
                <w:sz w:val="18"/>
                <w:szCs w:val="18"/>
                <w:lang w:eastAsia="de-DE"/>
              </w:rPr>
              <w:t>3. Nebengebührenwerte</w:t>
            </w:r>
            <w:r w:rsidRPr="00F921A1">
              <w:rPr>
                <w:rFonts w:ascii="Arial" w:eastAsia="Times New Roman" w:hAnsi="Arial" w:cs="Arial"/>
                <w:b/>
                <w:bCs/>
                <w:color w:val="000000"/>
                <w:sz w:val="18"/>
                <w:szCs w:val="18"/>
                <w:lang w:eastAsia="de-DE"/>
              </w:rPr>
              <w:br/>
            </w:r>
            <w:r w:rsidRPr="00F921A1">
              <w:rPr>
                <w:rFonts w:ascii="Arial" w:eastAsia="Times New Roman" w:hAnsi="Arial" w:cs="Arial"/>
                <w:color w:val="000000"/>
                <w:sz w:val="18"/>
                <w:szCs w:val="18"/>
                <w:lang w:eastAsia="de-DE"/>
              </w:rPr>
              <w:t>Anspruchsbegründete Nebengebühren sind auf Nebengebührenwerte umzurechnen, die auf höchstens 2 Dezimalstellen zu lauten haben.</w:t>
            </w:r>
          </w:p>
          <w:p w:rsidR="00F921A1" w:rsidRPr="00F921A1" w:rsidRDefault="00F921A1" w:rsidP="00F921A1">
            <w:pPr>
              <w:numPr>
                <w:ilvl w:val="0"/>
                <w:numId w:val="3"/>
              </w:numPr>
              <w:spacing w:before="100" w:beforeAutospacing="1" w:after="240" w:line="240" w:lineRule="auto"/>
              <w:ind w:left="405" w:right="150"/>
              <w:rPr>
                <w:rFonts w:ascii="Arial" w:eastAsia="Times New Roman" w:hAnsi="Arial" w:cs="Arial"/>
                <w:color w:val="000000"/>
                <w:sz w:val="18"/>
                <w:szCs w:val="18"/>
                <w:lang w:eastAsia="de-DE"/>
              </w:rPr>
            </w:pPr>
            <w:r w:rsidRPr="00F921A1">
              <w:rPr>
                <w:rFonts w:ascii="Arial" w:eastAsia="Times New Roman" w:hAnsi="Arial" w:cs="Arial"/>
                <w:b/>
                <w:bCs/>
                <w:color w:val="000000"/>
                <w:sz w:val="18"/>
                <w:szCs w:val="18"/>
                <w:lang w:eastAsia="de-DE"/>
              </w:rPr>
              <w:t>Umrechnung</w:t>
            </w:r>
            <w:r w:rsidRPr="00F921A1">
              <w:rPr>
                <w:rFonts w:ascii="Arial" w:eastAsia="Times New Roman" w:hAnsi="Arial" w:cs="Arial"/>
                <w:color w:val="000000"/>
                <w:sz w:val="18"/>
                <w:szCs w:val="18"/>
                <w:lang w:eastAsia="de-DE"/>
              </w:rPr>
              <w:t xml:space="preserve"> der NG in NGW (auf 2 Dezimalstellen):</w:t>
            </w:r>
            <w:r w:rsidRPr="00F921A1">
              <w:rPr>
                <w:rFonts w:ascii="Arial" w:eastAsia="Times New Roman" w:hAnsi="Arial" w:cs="Arial"/>
                <w:color w:val="000000"/>
                <w:sz w:val="18"/>
                <w:szCs w:val="18"/>
                <w:lang w:eastAsia="de-DE"/>
              </w:rPr>
              <w:br/>
              <w:t>-  NG: Umrechnungsfaktor = NGW</w:t>
            </w:r>
            <w:r w:rsidRPr="00F921A1">
              <w:rPr>
                <w:rFonts w:ascii="Arial" w:eastAsia="Times New Roman" w:hAnsi="Arial" w:cs="Arial"/>
                <w:color w:val="000000"/>
                <w:sz w:val="18"/>
                <w:szCs w:val="18"/>
                <w:lang w:eastAsia="de-DE"/>
              </w:rPr>
              <w:br/>
              <w:t>   Umrechnungsfaktor = 1 % des Gehaltes der Dienstklasse V, Gehaltsstufe 2 der Beamten der Allgemeinen Verwaltung</w:t>
            </w:r>
            <w:r w:rsidRPr="00F921A1">
              <w:rPr>
                <w:rFonts w:ascii="Arial" w:eastAsia="Times New Roman" w:hAnsi="Arial" w:cs="Arial"/>
                <w:color w:val="000000"/>
                <w:sz w:val="18"/>
                <w:szCs w:val="18"/>
                <w:lang w:eastAsia="de-DE"/>
              </w:rPr>
              <w:br/>
              <w:t>-  Der Umrechnungsfaktor beträgt ab 1. Jänner 2017: € 24,96</w:t>
            </w:r>
          </w:p>
          <w:p w:rsidR="00F921A1" w:rsidRPr="00F921A1" w:rsidRDefault="00F921A1" w:rsidP="00F921A1">
            <w:pPr>
              <w:numPr>
                <w:ilvl w:val="0"/>
                <w:numId w:val="3"/>
              </w:numPr>
              <w:spacing w:before="100" w:beforeAutospacing="1" w:after="100" w:afterAutospacing="1" w:line="240" w:lineRule="auto"/>
              <w:ind w:left="405" w:right="150"/>
              <w:rPr>
                <w:rFonts w:ascii="Arial" w:eastAsia="Times New Roman" w:hAnsi="Arial" w:cs="Arial"/>
                <w:color w:val="000000"/>
                <w:sz w:val="18"/>
                <w:szCs w:val="18"/>
                <w:lang w:eastAsia="de-DE"/>
              </w:rPr>
            </w:pPr>
            <w:r w:rsidRPr="00F921A1">
              <w:rPr>
                <w:rFonts w:ascii="Arial" w:eastAsia="Times New Roman" w:hAnsi="Arial" w:cs="Arial"/>
                <w:color w:val="000000"/>
                <w:sz w:val="18"/>
                <w:szCs w:val="18"/>
                <w:lang w:eastAsia="de-DE"/>
              </w:rPr>
              <w:t xml:space="preserve">Die </w:t>
            </w:r>
            <w:r w:rsidRPr="00F921A1">
              <w:rPr>
                <w:rFonts w:ascii="Arial" w:eastAsia="Times New Roman" w:hAnsi="Arial" w:cs="Arial"/>
                <w:b/>
                <w:bCs/>
                <w:color w:val="000000"/>
                <w:sz w:val="18"/>
                <w:szCs w:val="18"/>
                <w:lang w:eastAsia="de-DE"/>
              </w:rPr>
              <w:t>Jahressumme</w:t>
            </w:r>
            <w:r w:rsidRPr="00F921A1">
              <w:rPr>
                <w:rFonts w:ascii="Arial" w:eastAsia="Times New Roman" w:hAnsi="Arial" w:cs="Arial"/>
                <w:color w:val="000000"/>
                <w:sz w:val="18"/>
                <w:szCs w:val="18"/>
                <w:lang w:eastAsia="de-DE"/>
              </w:rPr>
              <w:t xml:space="preserve"> der NGW wird samt Vortrag der aus früheren Jahren gespeicherten NGW den Lehrern im Laufe des darauffolgenden Jahres schriftlich mitgeteilt. </w:t>
            </w:r>
          </w:p>
          <w:p w:rsidR="00F921A1" w:rsidRPr="00F921A1" w:rsidRDefault="00F921A1" w:rsidP="00F921A1">
            <w:pPr>
              <w:spacing w:before="100" w:beforeAutospacing="1" w:after="100" w:afterAutospacing="1" w:line="240" w:lineRule="auto"/>
              <w:ind w:left="150" w:right="150"/>
              <w:rPr>
                <w:rFonts w:ascii="Arial" w:eastAsia="Times New Roman" w:hAnsi="Arial" w:cs="Arial"/>
                <w:color w:val="000000"/>
                <w:sz w:val="18"/>
                <w:szCs w:val="18"/>
                <w:lang w:eastAsia="de-DE"/>
              </w:rPr>
            </w:pPr>
            <w:r w:rsidRPr="00F921A1">
              <w:rPr>
                <w:rFonts w:ascii="Arial" w:eastAsia="Times New Roman" w:hAnsi="Arial" w:cs="Arial"/>
                <w:b/>
                <w:bCs/>
                <w:color w:val="000000"/>
                <w:sz w:val="18"/>
                <w:szCs w:val="18"/>
                <w:lang w:eastAsia="de-DE"/>
              </w:rPr>
              <w:t>4. Nebengebührenzulage</w:t>
            </w:r>
          </w:p>
          <w:p w:rsidR="00F921A1" w:rsidRPr="00F921A1" w:rsidRDefault="00F921A1" w:rsidP="00F921A1">
            <w:pPr>
              <w:numPr>
                <w:ilvl w:val="0"/>
                <w:numId w:val="4"/>
              </w:numPr>
              <w:spacing w:before="100" w:beforeAutospacing="1" w:after="100" w:afterAutospacing="1" w:line="240" w:lineRule="auto"/>
              <w:ind w:left="405" w:right="150"/>
              <w:rPr>
                <w:rFonts w:ascii="Arial" w:eastAsia="Times New Roman" w:hAnsi="Arial" w:cs="Arial"/>
                <w:color w:val="000000"/>
                <w:sz w:val="18"/>
                <w:szCs w:val="18"/>
                <w:lang w:eastAsia="de-DE"/>
              </w:rPr>
            </w:pPr>
            <w:r w:rsidRPr="00F921A1">
              <w:rPr>
                <w:rFonts w:ascii="Arial" w:eastAsia="Times New Roman" w:hAnsi="Arial" w:cs="Arial"/>
                <w:color w:val="000000"/>
                <w:sz w:val="18"/>
                <w:szCs w:val="18"/>
                <w:lang w:eastAsia="de-DE"/>
              </w:rPr>
              <w:t>Ermittlung der monatlichen Zulage zur Pension:</w:t>
            </w:r>
            <w:r w:rsidRPr="00F921A1">
              <w:rPr>
                <w:rFonts w:ascii="Arial" w:eastAsia="Times New Roman" w:hAnsi="Arial" w:cs="Arial"/>
                <w:color w:val="000000"/>
                <w:sz w:val="18"/>
                <w:szCs w:val="18"/>
                <w:lang w:eastAsia="de-DE"/>
              </w:rPr>
              <w:br/>
              <w:t>Umrechnungsfaktor Stand 2017: € 24,96</w:t>
            </w:r>
          </w:p>
          <w:p w:rsidR="00F921A1" w:rsidRPr="00F921A1" w:rsidRDefault="00F921A1" w:rsidP="00F921A1">
            <w:pPr>
              <w:numPr>
                <w:ilvl w:val="0"/>
                <w:numId w:val="4"/>
              </w:numPr>
              <w:spacing w:before="100" w:beforeAutospacing="1" w:after="100" w:afterAutospacing="1" w:line="240" w:lineRule="auto"/>
              <w:ind w:left="405" w:right="150"/>
              <w:rPr>
                <w:rFonts w:ascii="Arial" w:eastAsia="Times New Roman" w:hAnsi="Arial" w:cs="Arial"/>
                <w:color w:val="000000"/>
                <w:sz w:val="18"/>
                <w:szCs w:val="18"/>
                <w:lang w:eastAsia="de-DE"/>
              </w:rPr>
            </w:pPr>
            <w:r w:rsidRPr="00F921A1">
              <w:rPr>
                <w:rFonts w:ascii="Arial" w:eastAsia="Times New Roman" w:hAnsi="Arial" w:cs="Arial"/>
                <w:color w:val="000000"/>
                <w:sz w:val="18"/>
                <w:szCs w:val="18"/>
                <w:lang w:eastAsia="de-DE"/>
              </w:rPr>
              <w:t xml:space="preserve">Summe aller NGW x </w:t>
            </w:r>
            <w:proofErr w:type="gramStart"/>
            <w:r w:rsidRPr="00F921A1">
              <w:rPr>
                <w:rFonts w:ascii="Arial" w:eastAsia="Times New Roman" w:hAnsi="Arial" w:cs="Arial"/>
                <w:color w:val="000000"/>
                <w:sz w:val="18"/>
                <w:szCs w:val="18"/>
                <w:lang w:eastAsia="de-DE"/>
              </w:rPr>
              <w:t>Umrechnungsfaktor :</w:t>
            </w:r>
            <w:proofErr w:type="gramEnd"/>
            <w:r w:rsidRPr="00F921A1">
              <w:rPr>
                <w:rFonts w:ascii="Arial" w:eastAsia="Times New Roman" w:hAnsi="Arial" w:cs="Arial"/>
                <w:color w:val="000000"/>
                <w:sz w:val="18"/>
                <w:szCs w:val="18"/>
                <w:lang w:eastAsia="de-DE"/>
              </w:rPr>
              <w:t> 700 = 14 x jährliche NGZ</w:t>
            </w:r>
            <w:r w:rsidRPr="00F921A1">
              <w:rPr>
                <w:rFonts w:ascii="Arial" w:eastAsia="Times New Roman" w:hAnsi="Arial" w:cs="Arial"/>
                <w:color w:val="000000"/>
                <w:sz w:val="18"/>
                <w:szCs w:val="18"/>
                <w:lang w:eastAsia="de-DE"/>
              </w:rPr>
              <w:br/>
              <w:t xml:space="preserve">(Verringerung im Falle der Pensionierung aus gesundheitlichen Gründen. </w:t>
            </w:r>
          </w:p>
          <w:p w:rsidR="00F921A1" w:rsidRPr="00F921A1" w:rsidRDefault="00F921A1" w:rsidP="00F921A1">
            <w:pPr>
              <w:numPr>
                <w:ilvl w:val="0"/>
                <w:numId w:val="4"/>
              </w:numPr>
              <w:spacing w:before="100" w:beforeAutospacing="1" w:after="100" w:afterAutospacing="1" w:line="240" w:lineRule="auto"/>
              <w:ind w:left="405" w:right="150"/>
              <w:rPr>
                <w:rFonts w:ascii="Arial" w:eastAsia="Times New Roman" w:hAnsi="Arial" w:cs="Arial"/>
                <w:color w:val="000000"/>
                <w:sz w:val="18"/>
                <w:szCs w:val="18"/>
                <w:lang w:eastAsia="de-DE"/>
              </w:rPr>
            </w:pPr>
            <w:r w:rsidRPr="00F921A1">
              <w:rPr>
                <w:rFonts w:ascii="Arial" w:eastAsia="Times New Roman" w:hAnsi="Arial" w:cs="Arial"/>
                <w:color w:val="000000"/>
                <w:sz w:val="18"/>
                <w:szCs w:val="18"/>
                <w:lang w:eastAsia="de-DE"/>
              </w:rPr>
              <w:t>Höchstausmaß der NGZ:</w:t>
            </w:r>
            <w:r w:rsidRPr="00F921A1">
              <w:rPr>
                <w:rFonts w:ascii="Arial" w:eastAsia="Times New Roman" w:hAnsi="Arial" w:cs="Arial"/>
                <w:color w:val="000000"/>
                <w:sz w:val="18"/>
                <w:szCs w:val="18"/>
                <w:lang w:eastAsia="de-DE"/>
              </w:rPr>
              <w:br/>
              <w:t xml:space="preserve">20 % des ruhegenussfähigen Monatsbezuges (= Gehalt und ruhegenussfähige Zulagen zum Zeitpunkt der Pensionierung). </w:t>
            </w:r>
          </w:p>
          <w:p w:rsidR="00F921A1" w:rsidRPr="00F921A1" w:rsidRDefault="00F921A1" w:rsidP="00F921A1">
            <w:pPr>
              <w:numPr>
                <w:ilvl w:val="0"/>
                <w:numId w:val="4"/>
              </w:numPr>
              <w:spacing w:before="100" w:beforeAutospacing="1" w:after="100" w:afterAutospacing="1" w:line="240" w:lineRule="auto"/>
              <w:ind w:left="405" w:right="150"/>
              <w:rPr>
                <w:rFonts w:ascii="Arial" w:eastAsia="Times New Roman" w:hAnsi="Arial" w:cs="Arial"/>
                <w:color w:val="000000"/>
                <w:sz w:val="18"/>
                <w:szCs w:val="18"/>
                <w:lang w:eastAsia="de-DE"/>
              </w:rPr>
            </w:pPr>
            <w:r w:rsidRPr="00F921A1">
              <w:rPr>
                <w:rFonts w:ascii="Arial" w:eastAsia="Times New Roman" w:hAnsi="Arial" w:cs="Arial"/>
                <w:color w:val="000000"/>
                <w:sz w:val="18"/>
                <w:szCs w:val="18"/>
                <w:lang w:eastAsia="de-DE"/>
              </w:rPr>
              <w:t>Auf eine NGZ zum Versorgungsgenuss hat Anspruch:</w:t>
            </w:r>
            <w:r w:rsidRPr="00F921A1">
              <w:rPr>
                <w:rFonts w:ascii="Arial" w:eastAsia="Times New Roman" w:hAnsi="Arial" w:cs="Arial"/>
                <w:color w:val="000000"/>
                <w:sz w:val="18"/>
                <w:szCs w:val="18"/>
                <w:lang w:eastAsia="de-DE"/>
              </w:rPr>
              <w:br/>
              <w:t>-  der überlebende Ehegatte (mindestens 0 % bis höchstens 60 % und höchstens 60 % der NGZ des verstorbenen Lehrers)</w:t>
            </w:r>
            <w:r w:rsidRPr="00F921A1">
              <w:rPr>
                <w:rFonts w:ascii="Arial" w:eastAsia="Times New Roman" w:hAnsi="Arial" w:cs="Arial"/>
                <w:color w:val="000000"/>
                <w:sz w:val="18"/>
                <w:szCs w:val="18"/>
                <w:lang w:eastAsia="de-DE"/>
              </w:rPr>
              <w:br/>
              <w:t>-  eine Halbwaise (24 % der NGZ)</w:t>
            </w:r>
            <w:r w:rsidRPr="00F921A1">
              <w:rPr>
                <w:rFonts w:ascii="Arial" w:eastAsia="Times New Roman" w:hAnsi="Arial" w:cs="Arial"/>
                <w:color w:val="000000"/>
                <w:sz w:val="18"/>
                <w:szCs w:val="18"/>
                <w:lang w:eastAsia="de-DE"/>
              </w:rPr>
              <w:br/>
              <w:t xml:space="preserve">-  eine Vollwaise (36 % der NGZ) </w:t>
            </w:r>
          </w:p>
          <w:p w:rsidR="008F32C8" w:rsidRDefault="00F921A1" w:rsidP="008F32C8">
            <w:pPr>
              <w:spacing w:before="100" w:beforeAutospacing="1" w:after="100" w:afterAutospacing="1" w:line="240" w:lineRule="auto"/>
              <w:ind w:left="150" w:right="150"/>
              <w:rPr>
                <w:rFonts w:ascii="Arial" w:eastAsia="Times New Roman" w:hAnsi="Arial" w:cs="Arial"/>
                <w:color w:val="000000"/>
                <w:sz w:val="18"/>
                <w:szCs w:val="18"/>
                <w:lang w:eastAsia="de-DE"/>
              </w:rPr>
            </w:pPr>
            <w:r w:rsidRPr="00F921A1">
              <w:rPr>
                <w:rFonts w:ascii="Arial" w:eastAsia="Times New Roman" w:hAnsi="Arial" w:cs="Arial"/>
                <w:color w:val="000000"/>
                <w:sz w:val="18"/>
                <w:szCs w:val="18"/>
                <w:lang w:eastAsia="de-DE"/>
              </w:rPr>
              <w:t>Diese Summe aller Nebengebührenwerte wird als Grundlage für die Nebengebührenzulage zu Ihrem Ruhegenuss herangezogen.</w:t>
            </w:r>
            <w:r w:rsidRPr="00F921A1">
              <w:rPr>
                <w:rFonts w:ascii="Arial" w:eastAsia="Times New Roman" w:hAnsi="Arial" w:cs="Arial"/>
                <w:color w:val="000000"/>
                <w:sz w:val="18"/>
                <w:szCs w:val="18"/>
                <w:lang w:eastAsia="de-DE"/>
              </w:rPr>
              <w:br/>
            </w:r>
            <w:r w:rsidRPr="00F921A1">
              <w:rPr>
                <w:rFonts w:ascii="Arial" w:eastAsia="Times New Roman" w:hAnsi="Arial" w:cs="Arial"/>
                <w:color w:val="000000"/>
                <w:sz w:val="18"/>
                <w:szCs w:val="18"/>
                <w:lang w:eastAsia="de-DE"/>
              </w:rPr>
              <w:br/>
              <w:t>Laut § 69 Pensionsgesetz werden bei der Umrechnung der Nebengebührenwerte in Euro im Jahr 2017 die gesammelten Werte mit 24,96 multipliziert und, wenn sie ab 2000 angefallen sind durch 700 dividiert, wenn sie bis Ende 1999 angefallen sind, durch 437,5 dividiert.</w:t>
            </w:r>
            <w:r w:rsidRPr="00F921A1">
              <w:rPr>
                <w:rFonts w:ascii="Arial" w:eastAsia="Times New Roman" w:hAnsi="Arial" w:cs="Arial"/>
                <w:color w:val="000000"/>
                <w:sz w:val="18"/>
                <w:szCs w:val="18"/>
                <w:lang w:eastAsia="de-DE"/>
              </w:rPr>
              <w:br/>
            </w:r>
            <w:r w:rsidRPr="00F921A1">
              <w:rPr>
                <w:rFonts w:ascii="Arial" w:eastAsia="Times New Roman" w:hAnsi="Arial" w:cs="Arial"/>
                <w:color w:val="000000"/>
                <w:sz w:val="18"/>
                <w:szCs w:val="18"/>
                <w:lang w:eastAsia="de-DE"/>
              </w:rPr>
              <w:br/>
              <w:t>Beispiel: 1000 bis zum Jahr 1999 gesammelte Nebengebührenwerte bedeuten im Jahr 2017 57,05 € brutto zusätzlich zum Ruhegenuss, 1000 ab dem Jahr 2000 gesammelte Nebengebührenwerte bedeuten im Jahr 2017 35,66 € zusätzlich zum Ruhegenuss.</w:t>
            </w:r>
          </w:p>
          <w:p w:rsidR="008F32C8" w:rsidRPr="00F921A1" w:rsidRDefault="008F32C8" w:rsidP="008F32C8">
            <w:pPr>
              <w:spacing w:before="100" w:beforeAutospacing="1" w:after="100" w:afterAutospacing="1" w:line="240" w:lineRule="auto"/>
              <w:ind w:left="150" w:right="150"/>
              <w:rPr>
                <w:rFonts w:ascii="Arial" w:eastAsia="Times New Roman" w:hAnsi="Arial" w:cs="Arial"/>
                <w:color w:val="000000"/>
                <w:sz w:val="18"/>
                <w:szCs w:val="18"/>
                <w:lang w:eastAsia="de-DE"/>
              </w:rPr>
            </w:pPr>
          </w:p>
          <w:p w:rsidR="00F921A1" w:rsidRPr="00F921A1" w:rsidRDefault="008F32C8" w:rsidP="008F32C8">
            <w:pPr>
              <w:spacing w:before="100" w:beforeAutospacing="1" w:after="100" w:afterAutospacing="1" w:line="240" w:lineRule="auto"/>
              <w:ind w:left="150" w:right="150"/>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 xml:space="preserve">Peter </w:t>
            </w:r>
            <w:proofErr w:type="spellStart"/>
            <w:r>
              <w:rPr>
                <w:rFonts w:ascii="Arial" w:eastAsia="Times New Roman" w:hAnsi="Arial" w:cs="Arial"/>
                <w:color w:val="000000"/>
                <w:sz w:val="18"/>
                <w:szCs w:val="18"/>
                <w:lang w:eastAsia="de-DE"/>
              </w:rPr>
              <w:t>Bleiweis</w:t>
            </w:r>
            <w:proofErr w:type="spellEnd"/>
            <w:r>
              <w:rPr>
                <w:rFonts w:ascii="Arial" w:eastAsia="Times New Roman" w:hAnsi="Arial" w:cs="Arial"/>
                <w:color w:val="000000"/>
                <w:sz w:val="18"/>
                <w:szCs w:val="18"/>
                <w:lang w:eastAsia="de-DE"/>
              </w:rPr>
              <w:t xml:space="preserve">                                                                                                                         </w:t>
            </w:r>
            <w:r w:rsidR="00F921A1" w:rsidRPr="00F921A1">
              <w:rPr>
                <w:rFonts w:ascii="Arial" w:eastAsia="Times New Roman" w:hAnsi="Arial" w:cs="Arial"/>
                <w:color w:val="000000"/>
                <w:sz w:val="18"/>
                <w:szCs w:val="18"/>
                <w:lang w:eastAsia="de-DE"/>
              </w:rPr>
              <w:t>Stand: Jänner 2017</w:t>
            </w:r>
          </w:p>
          <w:p w:rsidR="00F921A1" w:rsidRPr="00F921A1" w:rsidRDefault="00F921A1" w:rsidP="00F921A1">
            <w:pPr>
              <w:spacing w:before="100" w:beforeAutospacing="1" w:after="100" w:afterAutospacing="1" w:line="240" w:lineRule="auto"/>
              <w:ind w:left="150" w:right="150"/>
              <w:rPr>
                <w:rFonts w:ascii="Arial" w:eastAsia="Times New Roman" w:hAnsi="Arial" w:cs="Arial"/>
                <w:color w:val="000000"/>
                <w:sz w:val="18"/>
                <w:szCs w:val="18"/>
                <w:lang w:eastAsia="de-DE"/>
              </w:rPr>
            </w:pPr>
            <w:r w:rsidRPr="00F921A1">
              <w:rPr>
                <w:rFonts w:ascii="Arial" w:eastAsia="Times New Roman" w:hAnsi="Arial" w:cs="Arial"/>
                <w:color w:val="000000"/>
                <w:sz w:val="18"/>
                <w:szCs w:val="18"/>
                <w:lang w:eastAsia="de-DE"/>
              </w:rPr>
              <w:t> </w:t>
            </w:r>
          </w:p>
        </w:tc>
      </w:tr>
      <w:tr w:rsidR="00F921A1" w:rsidRPr="00F921A1" w:rsidTr="00B54632">
        <w:trPr>
          <w:tblCellSpacing w:w="15" w:type="dxa"/>
        </w:trPr>
        <w:tc>
          <w:tcPr>
            <w:tcW w:w="0" w:type="auto"/>
            <w:tcBorders>
              <w:left w:val="single" w:sz="6" w:space="0" w:color="F5F5F5"/>
              <w:bottom w:val="single" w:sz="6" w:space="0" w:color="F5F5F5"/>
            </w:tcBorders>
            <w:tcMar>
              <w:top w:w="150" w:type="dxa"/>
              <w:left w:w="150" w:type="dxa"/>
              <w:bottom w:w="150" w:type="dxa"/>
              <w:right w:w="150" w:type="dxa"/>
            </w:tcMar>
            <w:vAlign w:val="center"/>
            <w:hideMark/>
          </w:tcPr>
          <w:p w:rsidR="00F921A1" w:rsidRPr="00F921A1" w:rsidRDefault="00F921A1" w:rsidP="00F921A1">
            <w:pPr>
              <w:spacing w:before="100" w:beforeAutospacing="1" w:after="100" w:afterAutospacing="1" w:line="240" w:lineRule="auto"/>
              <w:ind w:left="150" w:right="150"/>
              <w:rPr>
                <w:rFonts w:ascii="Arial" w:eastAsia="Times New Roman" w:hAnsi="Arial" w:cs="Arial"/>
                <w:color w:val="000000"/>
                <w:sz w:val="18"/>
                <w:szCs w:val="18"/>
                <w:lang w:eastAsia="de-DE"/>
              </w:rPr>
            </w:pPr>
            <w:r w:rsidRPr="00F921A1">
              <w:rPr>
                <w:rFonts w:ascii="Arial" w:eastAsia="Times New Roman" w:hAnsi="Arial" w:cs="Arial"/>
                <w:color w:val="000000"/>
                <w:sz w:val="18"/>
                <w:szCs w:val="18"/>
                <w:lang w:eastAsia="de-DE"/>
              </w:rPr>
              <w:t> </w:t>
            </w:r>
          </w:p>
        </w:tc>
      </w:tr>
    </w:tbl>
    <w:p w:rsidR="00744C2C" w:rsidRDefault="00744C2C" w:rsidP="00F921A1"/>
    <w:sectPr w:rsidR="00744C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B391F"/>
    <w:multiLevelType w:val="multilevel"/>
    <w:tmpl w:val="4972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7A6BEE"/>
    <w:multiLevelType w:val="multilevel"/>
    <w:tmpl w:val="CD34D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297A81"/>
    <w:multiLevelType w:val="multilevel"/>
    <w:tmpl w:val="D678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794D33"/>
    <w:multiLevelType w:val="multilevel"/>
    <w:tmpl w:val="B81C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A1"/>
    <w:rsid w:val="00744C2C"/>
    <w:rsid w:val="008F32C8"/>
    <w:rsid w:val="00B25D38"/>
    <w:rsid w:val="00B54632"/>
    <w:rsid w:val="00F921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21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2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21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2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0086">
      <w:marLeft w:val="0"/>
      <w:marRight w:val="0"/>
      <w:marTop w:val="0"/>
      <w:marBottom w:val="0"/>
      <w:divBdr>
        <w:top w:val="none" w:sz="0" w:space="0" w:color="auto"/>
        <w:left w:val="none" w:sz="0" w:space="0" w:color="auto"/>
        <w:bottom w:val="none" w:sz="0" w:space="0" w:color="auto"/>
        <w:right w:val="none" w:sz="0" w:space="0" w:color="auto"/>
      </w:divBdr>
      <w:divsChild>
        <w:div w:id="640816353">
          <w:marLeft w:val="0"/>
          <w:marRight w:val="0"/>
          <w:marTop w:val="0"/>
          <w:marBottom w:val="0"/>
          <w:divBdr>
            <w:top w:val="none" w:sz="0" w:space="0" w:color="auto"/>
            <w:left w:val="none" w:sz="0" w:space="0" w:color="auto"/>
            <w:bottom w:val="none" w:sz="0" w:space="0" w:color="auto"/>
            <w:right w:val="none" w:sz="0" w:space="0" w:color="auto"/>
          </w:divBdr>
          <w:divsChild>
            <w:div w:id="1051225619">
              <w:marLeft w:val="0"/>
              <w:marRight w:val="300"/>
              <w:marTop w:val="0"/>
              <w:marBottom w:val="0"/>
              <w:divBdr>
                <w:top w:val="none" w:sz="0" w:space="0" w:color="auto"/>
                <w:left w:val="none" w:sz="0" w:space="0" w:color="auto"/>
                <w:bottom w:val="none" w:sz="0" w:space="0" w:color="auto"/>
                <w:right w:val="none" w:sz="0" w:space="0" w:color="auto"/>
              </w:divBdr>
              <w:divsChild>
                <w:div w:id="1655136378">
                  <w:marLeft w:val="0"/>
                  <w:marRight w:val="0"/>
                  <w:marTop w:val="0"/>
                  <w:marBottom w:val="0"/>
                  <w:divBdr>
                    <w:top w:val="none" w:sz="0" w:space="0" w:color="auto"/>
                    <w:left w:val="none" w:sz="0" w:space="0" w:color="auto"/>
                    <w:bottom w:val="none" w:sz="0" w:space="0" w:color="auto"/>
                    <w:right w:val="none" w:sz="0" w:space="0" w:color="auto"/>
                  </w:divBdr>
                  <w:divsChild>
                    <w:div w:id="1257864566">
                      <w:marLeft w:val="0"/>
                      <w:marRight w:val="0"/>
                      <w:marTop w:val="0"/>
                      <w:marBottom w:val="435"/>
                      <w:divBdr>
                        <w:top w:val="none" w:sz="0" w:space="0" w:color="auto"/>
                        <w:left w:val="none" w:sz="0" w:space="0" w:color="auto"/>
                        <w:bottom w:val="none" w:sz="0" w:space="0" w:color="auto"/>
                        <w:right w:val="none" w:sz="0" w:space="0" w:color="auto"/>
                      </w:divBdr>
                    </w:div>
                    <w:div w:id="1257980618">
                      <w:marLeft w:val="0"/>
                      <w:marRight w:val="0"/>
                      <w:marTop w:val="0"/>
                      <w:marBottom w:val="0"/>
                      <w:divBdr>
                        <w:top w:val="none" w:sz="0" w:space="0" w:color="auto"/>
                        <w:left w:val="none" w:sz="0" w:space="0" w:color="auto"/>
                        <w:bottom w:val="none" w:sz="0" w:space="0" w:color="auto"/>
                        <w:right w:val="none" w:sz="0" w:space="0" w:color="auto"/>
                      </w:divBdr>
                    </w:div>
                    <w:div w:id="1652369596">
                      <w:marLeft w:val="0"/>
                      <w:marRight w:val="0"/>
                      <w:marTop w:val="0"/>
                      <w:marBottom w:val="540"/>
                      <w:divBdr>
                        <w:top w:val="none" w:sz="0" w:space="0" w:color="auto"/>
                        <w:left w:val="none" w:sz="0" w:space="0" w:color="auto"/>
                        <w:bottom w:val="none" w:sz="0" w:space="0" w:color="auto"/>
                        <w:right w:val="none" w:sz="0" w:space="0" w:color="auto"/>
                      </w:divBdr>
                    </w:div>
                    <w:div w:id="1747606413">
                      <w:marLeft w:val="0"/>
                      <w:marRight w:val="0"/>
                      <w:marTop w:val="225"/>
                      <w:marBottom w:val="0"/>
                      <w:divBdr>
                        <w:top w:val="single" w:sz="6" w:space="6" w:color="1A4D82"/>
                        <w:left w:val="none" w:sz="0" w:space="0" w:color="auto"/>
                        <w:bottom w:val="single" w:sz="6" w:space="6" w:color="1A4D82"/>
                        <w:right w:val="none" w:sz="0" w:space="0" w:color="auto"/>
                      </w:divBdr>
                    </w:div>
                  </w:divsChild>
                </w:div>
              </w:divsChild>
            </w:div>
            <w:div w:id="1957831143">
              <w:marLeft w:val="0"/>
              <w:marRight w:val="0"/>
              <w:marTop w:val="0"/>
              <w:marBottom w:val="0"/>
              <w:divBdr>
                <w:top w:val="none" w:sz="0" w:space="0" w:color="auto"/>
                <w:left w:val="none" w:sz="0" w:space="0" w:color="auto"/>
                <w:bottom w:val="none" w:sz="0" w:space="0" w:color="auto"/>
                <w:right w:val="none" w:sz="0" w:space="0" w:color="auto"/>
              </w:divBdr>
              <w:divsChild>
                <w:div w:id="610553501">
                  <w:marLeft w:val="0"/>
                  <w:marRight w:val="0"/>
                  <w:marTop w:val="0"/>
                  <w:marBottom w:val="0"/>
                  <w:divBdr>
                    <w:top w:val="none" w:sz="0" w:space="0" w:color="auto"/>
                    <w:left w:val="none" w:sz="0" w:space="0" w:color="auto"/>
                    <w:bottom w:val="none" w:sz="0" w:space="0" w:color="auto"/>
                    <w:right w:val="none" w:sz="0" w:space="0" w:color="auto"/>
                  </w:divBdr>
                  <w:divsChild>
                    <w:div w:id="798497819">
                      <w:marLeft w:val="0"/>
                      <w:marRight w:val="0"/>
                      <w:marTop w:val="0"/>
                      <w:marBottom w:val="390"/>
                      <w:divBdr>
                        <w:top w:val="none" w:sz="0" w:space="0" w:color="auto"/>
                        <w:left w:val="none" w:sz="0" w:space="0" w:color="auto"/>
                        <w:bottom w:val="none" w:sz="0" w:space="0" w:color="auto"/>
                        <w:right w:val="none" w:sz="0" w:space="0" w:color="auto"/>
                      </w:divBdr>
                      <w:divsChild>
                        <w:div w:id="1024131577">
                          <w:marLeft w:val="0"/>
                          <w:marRight w:val="0"/>
                          <w:marTop w:val="0"/>
                          <w:marBottom w:val="0"/>
                          <w:divBdr>
                            <w:top w:val="none" w:sz="0" w:space="0" w:color="auto"/>
                            <w:left w:val="none" w:sz="0" w:space="0" w:color="auto"/>
                            <w:bottom w:val="none" w:sz="0" w:space="0" w:color="auto"/>
                            <w:right w:val="none" w:sz="0" w:space="0" w:color="auto"/>
                          </w:divBdr>
                          <w:divsChild>
                            <w:div w:id="19061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5892">
                      <w:marLeft w:val="0"/>
                      <w:marRight w:val="0"/>
                      <w:marTop w:val="0"/>
                      <w:marBottom w:val="0"/>
                      <w:divBdr>
                        <w:top w:val="none" w:sz="0" w:space="0" w:color="auto"/>
                        <w:left w:val="none" w:sz="0" w:space="0" w:color="auto"/>
                        <w:bottom w:val="none" w:sz="0" w:space="0" w:color="auto"/>
                        <w:right w:val="none" w:sz="0" w:space="0" w:color="auto"/>
                      </w:divBdr>
                      <w:divsChild>
                        <w:div w:id="848913428">
                          <w:marLeft w:val="0"/>
                          <w:marRight w:val="0"/>
                          <w:marTop w:val="0"/>
                          <w:marBottom w:val="0"/>
                          <w:divBdr>
                            <w:top w:val="none" w:sz="0" w:space="0" w:color="auto"/>
                            <w:left w:val="none" w:sz="0" w:space="0" w:color="auto"/>
                            <w:bottom w:val="none" w:sz="0" w:space="0" w:color="auto"/>
                            <w:right w:val="none" w:sz="0" w:space="0" w:color="auto"/>
                          </w:divBdr>
                          <w:divsChild>
                            <w:div w:id="1691029950">
                              <w:marLeft w:val="0"/>
                              <w:marRight w:val="0"/>
                              <w:marTop w:val="0"/>
                              <w:marBottom w:val="0"/>
                              <w:divBdr>
                                <w:top w:val="none" w:sz="0" w:space="0" w:color="auto"/>
                                <w:left w:val="none" w:sz="0" w:space="0" w:color="auto"/>
                                <w:bottom w:val="none" w:sz="0" w:space="0" w:color="auto"/>
                                <w:right w:val="none" w:sz="0" w:space="0" w:color="auto"/>
                              </w:divBdr>
                              <w:divsChild>
                                <w:div w:id="1318531218">
                                  <w:marLeft w:val="0"/>
                                  <w:marRight w:val="0"/>
                                  <w:marTop w:val="0"/>
                                  <w:marBottom w:val="0"/>
                                  <w:divBdr>
                                    <w:top w:val="none" w:sz="0" w:space="0" w:color="auto"/>
                                    <w:left w:val="none" w:sz="0" w:space="0" w:color="auto"/>
                                    <w:bottom w:val="none" w:sz="0" w:space="0" w:color="auto"/>
                                    <w:right w:val="none" w:sz="0" w:space="0" w:color="auto"/>
                                  </w:divBdr>
                                </w:div>
                                <w:div w:id="1650018624">
                                  <w:marLeft w:val="0"/>
                                  <w:marRight w:val="0"/>
                                  <w:marTop w:val="0"/>
                                  <w:marBottom w:val="0"/>
                                  <w:divBdr>
                                    <w:top w:val="none" w:sz="0" w:space="0" w:color="auto"/>
                                    <w:left w:val="none" w:sz="0" w:space="0" w:color="auto"/>
                                    <w:bottom w:val="none" w:sz="0" w:space="0" w:color="auto"/>
                                    <w:right w:val="none" w:sz="0" w:space="0" w:color="auto"/>
                                  </w:divBdr>
                                </w:div>
                                <w:div w:id="1423910671">
                                  <w:marLeft w:val="0"/>
                                  <w:marRight w:val="0"/>
                                  <w:marTop w:val="0"/>
                                  <w:marBottom w:val="150"/>
                                  <w:divBdr>
                                    <w:top w:val="none" w:sz="0" w:space="0" w:color="auto"/>
                                    <w:left w:val="none" w:sz="0" w:space="0" w:color="auto"/>
                                    <w:bottom w:val="none" w:sz="0" w:space="0" w:color="auto"/>
                                    <w:right w:val="none" w:sz="0" w:space="0" w:color="auto"/>
                                  </w:divBdr>
                                </w:div>
                                <w:div w:id="19622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301433">
          <w:marLeft w:val="0"/>
          <w:marRight w:val="0"/>
          <w:marTop w:val="750"/>
          <w:marBottom w:val="0"/>
          <w:divBdr>
            <w:top w:val="none" w:sz="0" w:space="0" w:color="auto"/>
            <w:left w:val="none" w:sz="0" w:space="0" w:color="auto"/>
            <w:bottom w:val="none" w:sz="0" w:space="0" w:color="auto"/>
            <w:right w:val="none" w:sz="0" w:space="0" w:color="auto"/>
          </w:divBdr>
          <w:divsChild>
            <w:div w:id="848786926">
              <w:marLeft w:val="0"/>
              <w:marRight w:val="0"/>
              <w:marTop w:val="75"/>
              <w:marBottom w:val="0"/>
              <w:divBdr>
                <w:top w:val="none" w:sz="0" w:space="0" w:color="auto"/>
                <w:left w:val="none" w:sz="0" w:space="0" w:color="auto"/>
                <w:bottom w:val="none" w:sz="0" w:space="0" w:color="auto"/>
                <w:right w:val="none" w:sz="0" w:space="0" w:color="auto"/>
              </w:divBdr>
              <w:divsChild>
                <w:div w:id="4643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Bleiweis Peter</dc:creator>
  <cp:lastModifiedBy>Bleiweis Peter</cp:lastModifiedBy>
  <cp:revision>2</cp:revision>
  <cp:lastPrinted>2018-10-07T09:01:00Z</cp:lastPrinted>
  <dcterms:created xsi:type="dcterms:W3CDTF">2019-08-07T14:10:00Z</dcterms:created>
  <dcterms:modified xsi:type="dcterms:W3CDTF">2019-08-07T14:10:00Z</dcterms:modified>
</cp:coreProperties>
</file>