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A9" w:rsidRPr="007A3DA9" w:rsidRDefault="007A3DA9" w:rsidP="007A3DA9">
      <w:pPr>
        <w:jc w:val="center"/>
        <w:rPr>
          <w:b/>
          <w:color w:val="FF0000"/>
          <w:sz w:val="48"/>
          <w:szCs w:val="48"/>
        </w:rPr>
      </w:pPr>
      <w:r w:rsidRPr="007A3DA9">
        <w:rPr>
          <w:b/>
          <w:color w:val="FF0000"/>
          <w:sz w:val="48"/>
          <w:szCs w:val="48"/>
        </w:rPr>
        <w:t>Jubiläumszuwendung</w:t>
      </w:r>
    </w:p>
    <w:p w:rsidR="007A3DA9" w:rsidRDefault="007A3DA9" w:rsidP="007A3DA9">
      <w:pPr>
        <w:rPr>
          <w:color w:val="FF0000"/>
        </w:rPr>
      </w:pPr>
    </w:p>
    <w:p w:rsidR="007A3DA9" w:rsidRPr="00965711" w:rsidRDefault="007A3DA9" w:rsidP="007A3DA9">
      <w:pPr>
        <w:rPr>
          <w:b/>
          <w:sz w:val="28"/>
          <w:szCs w:val="28"/>
        </w:rPr>
      </w:pPr>
      <w:proofErr w:type="spellStart"/>
      <w:r w:rsidRPr="00965711">
        <w:rPr>
          <w:b/>
          <w:color w:val="FF0000"/>
          <w:sz w:val="28"/>
          <w:szCs w:val="28"/>
        </w:rPr>
        <w:t>Vertragsbedienstetengesetz</w:t>
      </w:r>
      <w:proofErr w:type="spellEnd"/>
      <w:r w:rsidRPr="00965711">
        <w:rPr>
          <w:b/>
          <w:color w:val="FF0000"/>
          <w:sz w:val="28"/>
          <w:szCs w:val="28"/>
        </w:rPr>
        <w:t xml:space="preserve"> 1948</w:t>
      </w:r>
    </w:p>
    <w:p w:rsidR="007A3DA9" w:rsidRDefault="007A3DA9" w:rsidP="007A3DA9">
      <w:r>
        <w:t>Kundmachungsorgan</w:t>
      </w:r>
    </w:p>
    <w:p w:rsidR="007A3DA9" w:rsidRDefault="007A3DA9" w:rsidP="007A3DA9">
      <w:r>
        <w:t>BGBl. Nr. 86/1948 zuletzt geändert durch BGBl. I Nr. 96/2007</w:t>
      </w:r>
    </w:p>
    <w:p w:rsidR="007A3DA9" w:rsidRDefault="007A3DA9" w:rsidP="007A3DA9">
      <w:r>
        <w:t>Nebengebühren, Zulagen und Vergütungen</w:t>
      </w:r>
    </w:p>
    <w:p w:rsidR="00D44A55" w:rsidRDefault="007A3DA9" w:rsidP="007A3DA9">
      <w:r>
        <w:t xml:space="preserve">§ 22. (1) Für die Nebengebühren, den Fahrtkostenzuschuss und die Jubiläumszuwendung gelten die einschlägigen Bestimmungen für die Bundesbeamten sinngemäß. Die Jubiläumszuwendung für den teilbeschäftigten Vertragsbediensteten ist jedoch nach jenem Teil des seiner Einstufung entsprechenden Monatsentgeltes (und der Kinderzulage) zu bemessen, der seinem durchschnittlichen Beschäftigungsausmaß in seinem bisherigen Dienstverhältnis entspricht. Dem Übertritt bzw. der Versetzung in den Ruhestand im Sinne des § 20c Abs. 3 Z 2 </w:t>
      </w:r>
      <w:proofErr w:type="spellStart"/>
      <w:r>
        <w:t>GehG</w:t>
      </w:r>
      <w:proofErr w:type="spellEnd"/>
      <w:r>
        <w:t xml:space="preserve"> ist das Enden des Dienstverhältnisses des Vertragsbediensteten gleichzuhalten, wenn aus diesem Anlass eine Pensionsleistung nach dem ASVG, ausgenommen die Berufsunfähigkeits- und die Invaliditätspension, gebührt. § 15a, § 16 und § 17 Abs. 6 des Gehaltsgesetzes 1956 sind auf alle Fälle von Teilbeschäftigungen anzuwenden. § 20c Abs. 6 des Gehaltsgesetzes 1956 ist auf Vertragsbedienstete nicht anzuwenden.</w:t>
      </w:r>
    </w:p>
    <w:p w:rsidR="007A3DA9" w:rsidRPr="007A3DA9" w:rsidRDefault="007A3DA9" w:rsidP="007A3DA9">
      <w:pPr>
        <w:snapToGrid w:val="0"/>
        <w:spacing w:before="480" w:after="0" w:line="220" w:lineRule="atLeast"/>
        <w:rPr>
          <w:rFonts w:ascii="Times New Roman" w:eastAsia="Times New Roman" w:hAnsi="Times New Roman" w:cs="Times New Roman"/>
          <w:b/>
          <w:bCs/>
          <w:color w:val="000000"/>
          <w:lang w:eastAsia="de-DE"/>
        </w:rPr>
      </w:pPr>
    </w:p>
    <w:p w:rsidR="007A3DA9" w:rsidRPr="007A3DA9" w:rsidRDefault="007A3DA9" w:rsidP="007A3DA9">
      <w:pPr>
        <w:snapToGrid w:val="0"/>
        <w:spacing w:before="80" w:after="0" w:line="220" w:lineRule="atLeast"/>
        <w:rPr>
          <w:rFonts w:ascii="Times New Roman" w:eastAsia="Times New Roman" w:hAnsi="Times New Roman" w:cs="Times New Roman"/>
          <w:b/>
          <w:color w:val="FF0000"/>
          <w:sz w:val="28"/>
          <w:szCs w:val="28"/>
          <w:lang w:eastAsia="de-DE"/>
        </w:rPr>
      </w:pPr>
      <w:r w:rsidRPr="007A3DA9">
        <w:rPr>
          <w:rFonts w:ascii="Times New Roman" w:eastAsia="Times New Roman" w:hAnsi="Times New Roman" w:cs="Times New Roman"/>
          <w:b/>
          <w:color w:val="FF0000"/>
          <w:sz w:val="28"/>
          <w:szCs w:val="28"/>
          <w:lang w:eastAsia="de-DE"/>
        </w:rPr>
        <w:t>Gehaltsgesetz 1956</w:t>
      </w:r>
    </w:p>
    <w:p w:rsidR="007A3DA9" w:rsidRPr="007A3DA9" w:rsidRDefault="007A3DA9" w:rsidP="007A3DA9">
      <w:pPr>
        <w:snapToGrid w:val="0"/>
        <w:spacing w:before="480" w:after="0" w:line="220" w:lineRule="atLeast"/>
        <w:rPr>
          <w:rFonts w:ascii="Times New Roman" w:eastAsia="Times New Roman" w:hAnsi="Times New Roman" w:cs="Times New Roman"/>
          <w:b/>
          <w:bCs/>
          <w:color w:val="000000"/>
          <w:lang w:eastAsia="de-DE"/>
        </w:rPr>
      </w:pPr>
      <w:r w:rsidRPr="007A3DA9">
        <w:rPr>
          <w:rFonts w:ascii="Times New Roman" w:eastAsia="Times New Roman" w:hAnsi="Times New Roman" w:cs="Times New Roman"/>
          <w:b/>
          <w:bCs/>
          <w:color w:val="000000"/>
          <w:lang w:eastAsia="de-DE"/>
        </w:rPr>
        <w:t>Text</w:t>
      </w:r>
    </w:p>
    <w:p w:rsidR="007A3DA9" w:rsidRPr="007A3DA9" w:rsidRDefault="007A3DA9" w:rsidP="007A3DA9">
      <w:pPr>
        <w:keepNext/>
        <w:snapToGrid w:val="0"/>
        <w:spacing w:before="80" w:after="0" w:line="220" w:lineRule="atLeast"/>
        <w:rPr>
          <w:rFonts w:ascii="Times New Roman" w:eastAsia="Times New Roman" w:hAnsi="Times New Roman" w:cs="Times New Roman"/>
          <w:b/>
          <w:bCs/>
          <w:color w:val="000000"/>
          <w:sz w:val="20"/>
          <w:szCs w:val="20"/>
          <w:lang w:eastAsia="de-DE"/>
        </w:rPr>
      </w:pPr>
      <w:r w:rsidRPr="007A3DA9">
        <w:rPr>
          <w:rFonts w:ascii="Times New Roman" w:eastAsia="Times New Roman" w:hAnsi="Times New Roman" w:cs="Times New Roman"/>
          <w:b/>
          <w:bCs/>
          <w:color w:val="000000"/>
          <w:sz w:val="20"/>
          <w:szCs w:val="20"/>
          <w:lang w:eastAsia="de-DE"/>
        </w:rPr>
        <w:t>Jubiläumszuwendung</w:t>
      </w:r>
    </w:p>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b/>
          <w:bCs/>
          <w:color w:val="000000"/>
          <w:sz w:val="20"/>
          <w:szCs w:val="20"/>
          <w:lang w:eastAsia="de-DE"/>
        </w:rPr>
        <w:t>§ 20c.</w:t>
      </w:r>
      <w:r w:rsidRPr="007A3DA9">
        <w:rPr>
          <w:rFonts w:ascii="Times New Roman" w:eastAsia="Times New Roman" w:hAnsi="Times New Roman" w:cs="Times New Roman"/>
          <w:color w:val="000000"/>
          <w:sz w:val="20"/>
          <w:szCs w:val="20"/>
          <w:lang w:eastAsia="de-DE"/>
        </w:rPr>
        <w:t xml:space="preserve"> (1) Dem Beamten kann aus </w:t>
      </w:r>
      <w:proofErr w:type="spellStart"/>
      <w:r w:rsidRPr="007A3DA9">
        <w:rPr>
          <w:rFonts w:ascii="Times New Roman" w:eastAsia="Times New Roman" w:hAnsi="Times New Roman" w:cs="Times New Roman"/>
          <w:color w:val="000000"/>
          <w:sz w:val="20"/>
          <w:szCs w:val="20"/>
          <w:lang w:eastAsia="de-DE"/>
        </w:rPr>
        <w:t>Anlaß</w:t>
      </w:r>
      <w:proofErr w:type="spellEnd"/>
      <w:r w:rsidRPr="007A3DA9">
        <w:rPr>
          <w:rFonts w:ascii="Times New Roman" w:eastAsia="Times New Roman" w:hAnsi="Times New Roman" w:cs="Times New Roman"/>
          <w:color w:val="000000"/>
          <w:sz w:val="20"/>
          <w:szCs w:val="20"/>
          <w:lang w:eastAsia="de-DE"/>
        </w:rPr>
        <w:t xml:space="preserve"> der Vollendung einer Dienstzeit von 25 und 40 Jahren für treue Dienste eine Jubiläumszuwendung gewährt werden. Die Jubiläumszuwendung beträgt bei einer Dienstzeit von 25 Jahren 200 </w:t>
      </w:r>
      <w:proofErr w:type="spellStart"/>
      <w:r w:rsidRPr="007A3DA9">
        <w:rPr>
          <w:rFonts w:ascii="Times New Roman" w:eastAsia="Times New Roman" w:hAnsi="Times New Roman" w:cs="Times New Roman"/>
          <w:color w:val="000000"/>
          <w:sz w:val="20"/>
          <w:szCs w:val="20"/>
          <w:lang w:eastAsia="de-DE"/>
        </w:rPr>
        <w:t>vH</w:t>
      </w:r>
      <w:proofErr w:type="spellEnd"/>
      <w:r w:rsidRPr="007A3DA9">
        <w:rPr>
          <w:rFonts w:ascii="Times New Roman" w:eastAsia="Times New Roman" w:hAnsi="Times New Roman" w:cs="Times New Roman"/>
          <w:color w:val="000000"/>
          <w:sz w:val="20"/>
          <w:szCs w:val="20"/>
          <w:lang w:eastAsia="de-DE"/>
        </w:rPr>
        <w:t xml:space="preserve"> und bei einer Dienstzeit von 40 Jahren 400 </w:t>
      </w:r>
      <w:proofErr w:type="spellStart"/>
      <w:r w:rsidRPr="007A3DA9">
        <w:rPr>
          <w:rFonts w:ascii="Times New Roman" w:eastAsia="Times New Roman" w:hAnsi="Times New Roman" w:cs="Times New Roman"/>
          <w:color w:val="000000"/>
          <w:sz w:val="20"/>
          <w:szCs w:val="20"/>
          <w:lang w:eastAsia="de-DE"/>
        </w:rPr>
        <w:t>vH</w:t>
      </w:r>
      <w:proofErr w:type="spellEnd"/>
      <w:r w:rsidRPr="007A3DA9">
        <w:rPr>
          <w:rFonts w:ascii="Times New Roman" w:eastAsia="Times New Roman" w:hAnsi="Times New Roman" w:cs="Times New Roman"/>
          <w:color w:val="000000"/>
          <w:sz w:val="20"/>
          <w:szCs w:val="20"/>
          <w:lang w:eastAsia="de-DE"/>
        </w:rPr>
        <w:t xml:space="preserve"> des Monatsbezuges, der der besoldungsrechtlichen Stellung des Beamten in dem Monat entspricht, in den das Dienstjubiläum fällt.</w:t>
      </w:r>
    </w:p>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(2) Zur Dienstzeit im Sinne des Abs. 1 zählen: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6"/>
        <w:gridCol w:w="124"/>
        <w:gridCol w:w="540"/>
        <w:gridCol w:w="720"/>
        <w:gridCol w:w="711"/>
        <w:gridCol w:w="703"/>
        <w:gridCol w:w="695"/>
        <w:gridCol w:w="688"/>
        <w:gridCol w:w="110"/>
        <w:gridCol w:w="2379"/>
        <w:gridCol w:w="2306"/>
      </w:tblGrid>
      <w:tr w:rsidR="007A3DA9" w:rsidRPr="007A3DA9" w:rsidTr="007A3DA9">
        <w:trPr>
          <w:tblCellSpacing w:w="15" w:type="dxa"/>
        </w:trPr>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4"/>
                <w:szCs w:val="24"/>
                <w:lang w:eastAsia="de-DE"/>
              </w:rPr>
            </w:pPr>
          </w:p>
        </w:tc>
        <w:tc>
          <w:tcPr>
            <w:tcW w:w="225"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225"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135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135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1.</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die im bestehenden Dienstverhältnis zurückgelegte Zeit, soweit sie für die Vorrückung wirksam ist, einschließlich der als Richteramtsanwärter zurückgelegten Zeit,</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2.</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die im § 12 Abs. 2 und 2f angeführten Zeiten, soweit sie für die Ermittlung des Vorrückungsstichtages berücksichtigt wurden,</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3.</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i/>
                <w:iCs/>
                <w:color w:val="000000"/>
                <w:sz w:val="20"/>
                <w:szCs w:val="20"/>
                <w:lang w:eastAsia="de-DE"/>
              </w:rPr>
              <w:t>(Anm.: aufgehoben durch BGBl. I Nr. 87/2002)</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4.</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die im Ausbildungs- oder Dienstverhältnis zu einer inländischen Gebietskörperschaft, einem inländischen Gemeindeverband oder einer gemäß § 12 Abs. 2f diesen Einrichtungen gleichzuhaltenden Einrichtung zurückgelegten Zeiten, die für die Vorrückung bloß deshalb nicht wirksam sind, weil sie vor der Vollendung des 18. Lebensjahres liegen oder durch die Anwendung der Überstellungsbestimmungen für die Vorrückung unwirksam geworden sind,</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5.</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 xml:space="preserve">Dienstzeiten als </w:t>
            </w:r>
            <w:proofErr w:type="spellStart"/>
            <w:r w:rsidRPr="007A3DA9">
              <w:rPr>
                <w:rFonts w:ascii="Times New Roman" w:eastAsia="Times New Roman" w:hAnsi="Times New Roman" w:cs="Times New Roman"/>
                <w:color w:val="000000"/>
                <w:sz w:val="20"/>
                <w:szCs w:val="20"/>
                <w:lang w:eastAsia="de-DE"/>
              </w:rPr>
              <w:t>Universitäts</w:t>
            </w:r>
            <w:proofErr w:type="spellEnd"/>
            <w:r w:rsidRPr="007A3DA9">
              <w:rPr>
                <w:rFonts w:ascii="Times New Roman" w:eastAsia="Times New Roman" w:hAnsi="Times New Roman" w:cs="Times New Roman"/>
                <w:color w:val="000000"/>
                <w:sz w:val="20"/>
                <w:szCs w:val="20"/>
                <w:lang w:eastAsia="de-DE"/>
              </w:rPr>
              <w:t>(</w:t>
            </w:r>
            <w:proofErr w:type="spellStart"/>
            <w:r w:rsidRPr="007A3DA9">
              <w:rPr>
                <w:rFonts w:ascii="Times New Roman" w:eastAsia="Times New Roman" w:hAnsi="Times New Roman" w:cs="Times New Roman"/>
                <w:color w:val="000000"/>
                <w:sz w:val="20"/>
                <w:szCs w:val="20"/>
                <w:lang w:eastAsia="de-DE"/>
              </w:rPr>
              <w:t>Hochschul</w:t>
            </w:r>
            <w:proofErr w:type="spellEnd"/>
            <w:r w:rsidRPr="007A3DA9">
              <w:rPr>
                <w:rFonts w:ascii="Times New Roman" w:eastAsia="Times New Roman" w:hAnsi="Times New Roman" w:cs="Times New Roman"/>
                <w:color w:val="000000"/>
                <w:sz w:val="20"/>
                <w:szCs w:val="20"/>
                <w:lang w:eastAsia="de-DE"/>
              </w:rPr>
              <w:t>)</w:t>
            </w:r>
            <w:proofErr w:type="spellStart"/>
            <w:r w:rsidRPr="007A3DA9">
              <w:rPr>
                <w:rFonts w:ascii="Times New Roman" w:eastAsia="Times New Roman" w:hAnsi="Times New Roman" w:cs="Times New Roman"/>
                <w:color w:val="000000"/>
                <w:sz w:val="20"/>
                <w:szCs w:val="20"/>
                <w:lang w:eastAsia="de-DE"/>
              </w:rPr>
              <w:t>assistent</w:t>
            </w:r>
            <w:proofErr w:type="spellEnd"/>
            <w:r w:rsidRPr="007A3DA9">
              <w:rPr>
                <w:rFonts w:ascii="Times New Roman" w:eastAsia="Times New Roman" w:hAnsi="Times New Roman" w:cs="Times New Roman"/>
                <w:color w:val="000000"/>
                <w:sz w:val="20"/>
                <w:szCs w:val="20"/>
                <w:lang w:eastAsia="de-DE"/>
              </w:rPr>
              <w:t>, die gemäß § 49 in der bis zum Ablauf des 30. September 1988 geltenden Fassung für die Vorrückung nicht wirksam sind,</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6.</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 xml:space="preserve">die in einem Unternehmen zurückgelegte Zeit, wenn das Unternehmen vom Bund übernommen worden und </w:t>
            </w:r>
            <w:r w:rsidRPr="007A3DA9">
              <w:rPr>
                <w:rFonts w:ascii="Times New Roman" w:eastAsia="Times New Roman" w:hAnsi="Times New Roman" w:cs="Times New Roman"/>
                <w:color w:val="000000"/>
                <w:sz w:val="20"/>
                <w:szCs w:val="20"/>
                <w:lang w:eastAsia="de-DE"/>
              </w:rPr>
              <w:lastRenderedPageBreak/>
              <w:t>der Bund gegenüber den Dienstnehmern in die Rechte des Dienstgebers eingetreten ist.</w:t>
            </w:r>
          </w:p>
        </w:tc>
      </w:tr>
    </w:tbl>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lastRenderedPageBreak/>
        <w:t>(2a) Die in einem Dienstverhältnis zu einer inländischen Gebietskörperschaft oder bei einer den angeführten Einrichtungen vergleichbaren Einrichtung nach § 12 Abs. 2f zurückgelegten Zeiten zählen jedoch nicht zur Dienstzeit im Sinne des Abs. 1, wenn sie bei dieser Gebietskörperschaft oder dieser vergleichbaren Einrichtung einen Anspruch auf eine vergleichbare Jubiläumszuwendung bewirkt haben oder für einen künftigen derartigen Anspruch zählen.</w:t>
      </w:r>
    </w:p>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(3) Die Jubiläumszuwendung im Ausmaß von 400 </w:t>
      </w:r>
      <w:proofErr w:type="spellStart"/>
      <w:r w:rsidRPr="007A3DA9">
        <w:rPr>
          <w:rFonts w:ascii="Times New Roman" w:eastAsia="Times New Roman" w:hAnsi="Times New Roman" w:cs="Times New Roman"/>
          <w:color w:val="000000"/>
          <w:sz w:val="20"/>
          <w:szCs w:val="20"/>
          <w:lang w:eastAsia="de-DE"/>
        </w:rPr>
        <w:t>vH</w:t>
      </w:r>
      <w:proofErr w:type="spellEnd"/>
      <w:r w:rsidRPr="007A3DA9">
        <w:rPr>
          <w:rFonts w:ascii="Times New Roman" w:eastAsia="Times New Roman" w:hAnsi="Times New Roman" w:cs="Times New Roman"/>
          <w:color w:val="000000"/>
          <w:sz w:val="20"/>
          <w:szCs w:val="20"/>
          <w:lang w:eastAsia="de-DE"/>
        </w:rPr>
        <w:t xml:space="preserve"> des Monatsbezuges kann auch gewährt werden, wenn die Beamtin oder der Beamte durch Tod aus dem Dienststand ausscheidet oder gemäß § 13 BDG 1979 oder gemäß § 99 </w:t>
      </w:r>
      <w:proofErr w:type="spellStart"/>
      <w:r w:rsidRPr="007A3DA9">
        <w:rPr>
          <w:rFonts w:ascii="Times New Roman" w:eastAsia="Times New Roman" w:hAnsi="Times New Roman" w:cs="Times New Roman"/>
          <w:color w:val="000000"/>
          <w:sz w:val="20"/>
          <w:szCs w:val="20"/>
          <w:lang w:eastAsia="de-DE"/>
        </w:rPr>
        <w:t>RStDG</w:t>
      </w:r>
      <w:proofErr w:type="spellEnd"/>
      <w:r w:rsidRPr="007A3DA9">
        <w:rPr>
          <w:rFonts w:ascii="Times New Roman" w:eastAsia="Times New Roman" w:hAnsi="Times New Roman" w:cs="Times New Roman"/>
          <w:color w:val="000000"/>
          <w:sz w:val="20"/>
          <w:szCs w:val="20"/>
          <w:lang w:eastAsia="de-DE"/>
        </w:rPr>
        <w:t xml:space="preserve"> in den Ruhestand übertritt oder gemäß § 15 oder § 15a (nicht jedoch in Verbindung mit den §§ 236b oder 236d) BDG 1979 oder gemäß § 87 Abs. 1 (nicht jedoch in Verbindung mit den §§ 166d oder § 166h) </w:t>
      </w:r>
      <w:proofErr w:type="spellStart"/>
      <w:r w:rsidRPr="007A3DA9">
        <w:rPr>
          <w:rFonts w:ascii="Times New Roman" w:eastAsia="Times New Roman" w:hAnsi="Times New Roman" w:cs="Times New Roman"/>
          <w:color w:val="000000"/>
          <w:sz w:val="20"/>
          <w:szCs w:val="20"/>
          <w:lang w:eastAsia="de-DE"/>
        </w:rPr>
        <w:t>RStDG</w:t>
      </w:r>
      <w:proofErr w:type="spellEnd"/>
      <w:r w:rsidRPr="007A3DA9">
        <w:rPr>
          <w:rFonts w:ascii="Times New Roman" w:eastAsia="Times New Roman" w:hAnsi="Times New Roman" w:cs="Times New Roman"/>
          <w:color w:val="000000"/>
          <w:sz w:val="20"/>
          <w:szCs w:val="20"/>
          <w:lang w:eastAsia="de-DE"/>
        </w:rPr>
        <w:t xml:space="preserve"> in den Ruhestand versetzt wird und beim Ausscheiden aus dem Dienststand eine Dienstzeit von mindestens 35 Jahren aufweist. In diesen Fällen ist der Jubiläumszuwendung der Monatsbezug, der der besoldungsrechtlichen Stellung im Zeitpunkt des Übertritts oder der Versetzung in den Ruhestand entspricht, zugrunde zu legen.</w:t>
      </w:r>
    </w:p>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(4) Hat der Beamte die Voraussetzung für die Gewährung einer Jubiläumszuwendung erfüllt und ist er gestorben, ehe die Jubiläumszuwendung ausgezahlt worden ist, so kann die Jubiläumszuwendung seinen versorgungsberechtigten Hinterbliebenen zur ungeteilten Hand ausgezahlt werden.</w:t>
      </w:r>
    </w:p>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(5) Die Jubiläumszuwendung ist im Monat Jänner oder Juli auszuzahlen, der dem Monat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0"/>
        <w:gridCol w:w="421"/>
        <w:gridCol w:w="447"/>
        <w:gridCol w:w="620"/>
        <w:gridCol w:w="618"/>
        <w:gridCol w:w="615"/>
        <w:gridCol w:w="613"/>
        <w:gridCol w:w="611"/>
        <w:gridCol w:w="66"/>
        <w:gridCol w:w="2270"/>
        <w:gridCol w:w="2261"/>
      </w:tblGrid>
      <w:tr w:rsidR="007A3DA9" w:rsidRPr="007A3DA9" w:rsidTr="007A3DA9">
        <w:trPr>
          <w:tblCellSpacing w:w="15" w:type="dxa"/>
        </w:trPr>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4"/>
                <w:szCs w:val="24"/>
                <w:lang w:eastAsia="de-DE"/>
              </w:rPr>
            </w:pPr>
          </w:p>
        </w:tc>
        <w:tc>
          <w:tcPr>
            <w:tcW w:w="225"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225"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33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135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c>
          <w:tcPr>
            <w:tcW w:w="1350" w:type="dxa"/>
            <w:vAlign w:val="center"/>
            <w:hideMark/>
          </w:tcPr>
          <w:p w:rsidR="007A3DA9" w:rsidRPr="007A3DA9" w:rsidRDefault="007A3DA9" w:rsidP="007A3DA9">
            <w:pPr>
              <w:spacing w:after="0" w:line="240" w:lineRule="auto"/>
              <w:rPr>
                <w:rFonts w:ascii="Times New Roman" w:eastAsia="Times New Roman" w:hAnsi="Times New Roman" w:cs="Times New Roman"/>
                <w:sz w:val="20"/>
                <w:szCs w:val="20"/>
                <w:lang w:eastAsia="de-DE"/>
              </w:rPr>
            </w:pP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1.</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der Vollendung des betreffenden Dienstjubiläums oder</w:t>
            </w:r>
          </w:p>
        </w:tc>
      </w:tr>
      <w:tr w:rsidR="007A3DA9" w:rsidRPr="007A3DA9" w:rsidTr="007A3DA9">
        <w:trPr>
          <w:tblCellSpacing w:w="15" w:type="dxa"/>
        </w:trPr>
        <w:tc>
          <w:tcPr>
            <w:tcW w:w="0" w:type="auto"/>
            <w:gridSpan w:val="2"/>
            <w:vAlign w:val="center"/>
            <w:hideMark/>
          </w:tcPr>
          <w:p w:rsidR="007A3DA9" w:rsidRPr="007A3DA9" w:rsidRDefault="007A3DA9" w:rsidP="007A3DA9">
            <w:pPr>
              <w:snapToGrid w:val="0"/>
              <w:spacing w:before="40" w:after="0" w:line="220" w:lineRule="atLeast"/>
              <w:jc w:val="right"/>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2.</w:t>
            </w:r>
          </w:p>
        </w:tc>
        <w:tc>
          <w:tcPr>
            <w:tcW w:w="0" w:type="auto"/>
            <w:gridSpan w:val="9"/>
            <w:vAlign w:val="center"/>
            <w:hideMark/>
          </w:tcPr>
          <w:p w:rsidR="007A3DA9" w:rsidRPr="007A3DA9" w:rsidRDefault="007A3DA9" w:rsidP="007A3DA9">
            <w:pPr>
              <w:snapToGrid w:val="0"/>
              <w:spacing w:before="40"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des Ausscheidens aus dem Dienststand gemäß Abs. 3</w:t>
            </w:r>
          </w:p>
        </w:tc>
      </w:tr>
      <w:tr w:rsidR="007A3DA9" w:rsidRPr="007A3DA9" w:rsidTr="007A3DA9">
        <w:trPr>
          <w:tblCellSpacing w:w="15" w:type="dxa"/>
        </w:trPr>
        <w:tc>
          <w:tcPr>
            <w:tcW w:w="0" w:type="auto"/>
            <w:gridSpan w:val="11"/>
            <w:vAlign w:val="center"/>
            <w:hideMark/>
          </w:tcPr>
          <w:p w:rsidR="007A3DA9" w:rsidRPr="007A3DA9" w:rsidRDefault="007A3DA9" w:rsidP="007A3DA9">
            <w:pPr>
              <w:snapToGrid w:val="0"/>
              <w:spacing w:after="0" w:line="220" w:lineRule="atLeast"/>
              <w:jc w:val="both"/>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als nächster folgt. Scheidet jedoch der Beamte aus dem Dienstverhältnis aus, wird ein allfälliger Anspruch auf Jubiläumszuwendung spätestens mit dem Ausscheiden des Beamten aus dem Dienstverhältnis fällig.</w:t>
            </w:r>
          </w:p>
        </w:tc>
      </w:tr>
    </w:tbl>
    <w:p w:rsidR="007A3DA9" w:rsidRPr="007A3DA9" w:rsidRDefault="007A3DA9" w:rsidP="007A3DA9">
      <w:pPr>
        <w:snapToGrid w:val="0"/>
        <w:spacing w:before="80" w:after="0" w:line="240" w:lineRule="auto"/>
        <w:ind w:firstLine="397"/>
        <w:rPr>
          <w:rFonts w:ascii="Times New Roman" w:eastAsia="Times New Roman" w:hAnsi="Times New Roman" w:cs="Times New Roman"/>
          <w:color w:val="000000"/>
          <w:sz w:val="20"/>
          <w:szCs w:val="20"/>
          <w:lang w:eastAsia="de-DE"/>
        </w:rPr>
      </w:pPr>
      <w:r w:rsidRPr="007A3DA9">
        <w:rPr>
          <w:rFonts w:ascii="Times New Roman" w:eastAsia="Times New Roman" w:hAnsi="Times New Roman" w:cs="Times New Roman"/>
          <w:color w:val="000000"/>
          <w:sz w:val="20"/>
          <w:szCs w:val="20"/>
          <w:lang w:eastAsia="de-DE"/>
        </w:rPr>
        <w:t>(6) Wird das Dienstverhältnis durch den Tod des Beamten gelöst, so gebührt den Hinterbliebenen eine Zuwendung im Ausmaß von 150% des Gehaltes der Dienstklasse V, Gehaltsstufe 2, eines Beamten der Allgemeinen Verwaltung. Mehreren Hinterbliebenen gebührt die Zuwendung zur ungeteilten Hand</w:t>
      </w:r>
    </w:p>
    <w:p w:rsidR="007A3DA9" w:rsidRPr="00965711" w:rsidRDefault="007A3DA9" w:rsidP="007A3DA9">
      <w:pPr>
        <w:rPr>
          <w:sz w:val="28"/>
          <w:szCs w:val="28"/>
        </w:rPr>
      </w:pPr>
    </w:p>
    <w:p w:rsidR="0077046F" w:rsidRPr="0077046F" w:rsidRDefault="0077046F" w:rsidP="0077046F">
      <w:pPr>
        <w:spacing w:before="150" w:after="150" w:line="312" w:lineRule="auto"/>
        <w:outlineLvl w:val="3"/>
        <w:rPr>
          <w:rFonts w:ascii="Arial" w:eastAsia="Times New Roman" w:hAnsi="Arial" w:cs="Arial"/>
          <w:b/>
          <w:bCs/>
          <w:color w:val="FF0000"/>
          <w:sz w:val="28"/>
          <w:szCs w:val="28"/>
          <w:lang w:eastAsia="de-DE"/>
        </w:rPr>
      </w:pPr>
      <w:r w:rsidRPr="0077046F">
        <w:rPr>
          <w:rFonts w:ascii="Tahoma" w:eastAsia="Times New Roman" w:hAnsi="Tahoma" w:cs="Tahoma"/>
          <w:b/>
          <w:bCs/>
          <w:color w:val="FF0000"/>
          <w:sz w:val="28"/>
          <w:szCs w:val="28"/>
          <w:lang w:eastAsia="de-DE"/>
        </w:rPr>
        <w:t>Dienstjubiläum (= Jubiläumszuwendung)</w:t>
      </w:r>
    </w:p>
    <w:p w:rsidR="0077046F" w:rsidRPr="008A3FB3" w:rsidRDefault="0077046F" w:rsidP="0077046F">
      <w:pPr>
        <w:spacing w:after="75" w:line="300" w:lineRule="auto"/>
        <w:rPr>
          <w:rFonts w:ascii="Arial" w:eastAsia="Times New Roman" w:hAnsi="Arial" w:cs="Arial"/>
          <w:b/>
          <w:color w:val="666666"/>
          <w:sz w:val="20"/>
          <w:szCs w:val="20"/>
          <w:lang w:eastAsia="de-DE"/>
        </w:rPr>
      </w:pPr>
      <w:r w:rsidRPr="008A3FB3">
        <w:rPr>
          <w:rFonts w:ascii="Tahoma" w:eastAsia="Times New Roman" w:hAnsi="Tahoma" w:cs="Tahoma"/>
          <w:b/>
          <w:i/>
          <w:iCs/>
          <w:color w:val="666666"/>
          <w:sz w:val="20"/>
          <w:szCs w:val="20"/>
          <w:lang w:eastAsia="de-DE"/>
        </w:rPr>
        <w:t xml:space="preserve">Rechtsgrundlage: §§ 22c, 169e Abs. 1 </w:t>
      </w:r>
      <w:proofErr w:type="spellStart"/>
      <w:r w:rsidRPr="008A3FB3">
        <w:rPr>
          <w:rFonts w:ascii="Tahoma" w:eastAsia="Times New Roman" w:hAnsi="Tahoma" w:cs="Tahoma"/>
          <w:b/>
          <w:i/>
          <w:iCs/>
          <w:color w:val="666666"/>
          <w:sz w:val="20"/>
          <w:szCs w:val="20"/>
          <w:lang w:eastAsia="de-DE"/>
        </w:rPr>
        <w:t>GehG</w:t>
      </w:r>
      <w:proofErr w:type="spellEnd"/>
      <w:r w:rsidRPr="008A3FB3">
        <w:rPr>
          <w:rFonts w:ascii="Tahoma" w:eastAsia="Times New Roman" w:hAnsi="Tahoma" w:cs="Tahoma"/>
          <w:b/>
          <w:i/>
          <w:iCs/>
          <w:color w:val="666666"/>
          <w:sz w:val="20"/>
          <w:szCs w:val="20"/>
          <w:lang w:eastAsia="de-DE"/>
        </w:rPr>
        <w:t xml:space="preserve">; §§ 22, 94a </w:t>
      </w:r>
      <w:proofErr w:type="spellStart"/>
      <w:r w:rsidRPr="008A3FB3">
        <w:rPr>
          <w:rFonts w:ascii="Tahoma" w:eastAsia="Times New Roman" w:hAnsi="Tahoma" w:cs="Tahoma"/>
          <w:b/>
          <w:i/>
          <w:iCs/>
          <w:color w:val="666666"/>
          <w:sz w:val="20"/>
          <w:szCs w:val="20"/>
          <w:lang w:eastAsia="de-DE"/>
        </w:rPr>
        <w:t>Abs</w:t>
      </w:r>
      <w:proofErr w:type="spellEnd"/>
      <w:r w:rsidRPr="008A3FB3">
        <w:rPr>
          <w:rFonts w:ascii="Tahoma" w:eastAsia="Times New Roman" w:hAnsi="Tahoma" w:cs="Tahoma"/>
          <w:b/>
          <w:i/>
          <w:iCs/>
          <w:color w:val="666666"/>
          <w:sz w:val="20"/>
          <w:szCs w:val="20"/>
          <w:lang w:eastAsia="de-DE"/>
        </w:rPr>
        <w:t xml:space="preserve"> 2 VBG.</w:t>
      </w:r>
    </w:p>
    <w:p w:rsidR="0077046F" w:rsidRPr="008A3FB3" w:rsidRDefault="0077046F" w:rsidP="0077046F">
      <w:pPr>
        <w:numPr>
          <w:ilvl w:val="0"/>
          <w:numId w:val="1"/>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Die Bestimmungen gelten für Beamte und Vertragsbedienstete in gleicher Weise, wenn nicht ausdrücklich auf Unterschiede hingewiesen wird. Der Einfachheit halber ist in Folge nur von Beamten die Rede.</w:t>
      </w:r>
    </w:p>
    <w:p w:rsidR="0077046F" w:rsidRPr="008A3FB3" w:rsidRDefault="0077046F" w:rsidP="0077046F">
      <w:pPr>
        <w:numPr>
          <w:ilvl w:val="0"/>
          <w:numId w:val="1"/>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Dem Beamten kann aus Anlass der Vollendung eines Besoldungsdienstalters von 25 und 40 Jahren für treue Dienste eine Jubiläumszuwendung gewährt werden. Die Jubiläumszuwendung beträgt</w:t>
      </w:r>
      <w:r w:rsidRPr="008A3FB3">
        <w:rPr>
          <w:rFonts w:ascii="Arial" w:eastAsia="Times New Roman" w:hAnsi="Arial" w:cs="Arial"/>
          <w:b/>
          <w:color w:val="666666"/>
          <w:sz w:val="18"/>
          <w:szCs w:val="18"/>
          <w:lang w:eastAsia="de-DE"/>
        </w:rPr>
        <w:t xml:space="preserve"> </w:t>
      </w:r>
    </w:p>
    <w:p w:rsidR="0077046F" w:rsidRPr="008A3FB3" w:rsidRDefault="0077046F" w:rsidP="0077046F">
      <w:pPr>
        <w:numPr>
          <w:ilvl w:val="1"/>
          <w:numId w:val="1"/>
        </w:numPr>
        <w:spacing w:before="100" w:beforeAutospacing="1" w:after="100" w:afterAutospacing="1" w:line="300" w:lineRule="atLeast"/>
        <w:ind w:left="150"/>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 xml:space="preserve">bei einem Besoldungsdienstalter von 25 Jahren 200 % und </w:t>
      </w:r>
    </w:p>
    <w:p w:rsidR="0077046F" w:rsidRPr="008A3FB3" w:rsidRDefault="0077046F" w:rsidP="0077046F">
      <w:pPr>
        <w:numPr>
          <w:ilvl w:val="1"/>
          <w:numId w:val="1"/>
        </w:numPr>
        <w:spacing w:before="100" w:beforeAutospacing="1" w:after="100" w:afterAutospacing="1" w:line="300" w:lineRule="atLeast"/>
        <w:ind w:left="150"/>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bei einem Besoldungsdienstalter von 40 Jahren 400%</w:t>
      </w:r>
    </w:p>
    <w:p w:rsidR="0077046F" w:rsidRPr="008A3FB3" w:rsidRDefault="0077046F" w:rsidP="0077046F">
      <w:pPr>
        <w:spacing w:after="75" w:line="300" w:lineRule="auto"/>
        <w:rPr>
          <w:rFonts w:ascii="Arial" w:eastAsia="Times New Roman" w:hAnsi="Arial" w:cs="Arial"/>
          <w:b/>
          <w:color w:val="666666"/>
          <w:sz w:val="20"/>
          <w:szCs w:val="20"/>
          <w:lang w:eastAsia="de-DE"/>
        </w:rPr>
      </w:pPr>
      <w:r w:rsidRPr="008A3FB3">
        <w:rPr>
          <w:rFonts w:ascii="Tahoma" w:eastAsia="Times New Roman" w:hAnsi="Tahoma" w:cs="Tahoma"/>
          <w:b/>
          <w:color w:val="666666"/>
          <w:sz w:val="20"/>
          <w:szCs w:val="20"/>
          <w:lang w:eastAsia="de-DE"/>
        </w:rPr>
        <w:t xml:space="preserve">des Monatsbezuges, der der besoldungsrechtlichen Stellung des Beamten in dem Monat entspricht, in den das Dienstjubiläum fällt. Ist in diesem Monat der Bezug auf Grund von Teilzeitbeschäftigung oder eines </w:t>
      </w:r>
      <w:proofErr w:type="spellStart"/>
      <w:r w:rsidRPr="008A3FB3">
        <w:rPr>
          <w:rFonts w:ascii="Tahoma" w:eastAsia="Times New Roman" w:hAnsi="Tahoma" w:cs="Tahoma"/>
          <w:b/>
          <w:color w:val="666666"/>
          <w:sz w:val="20"/>
          <w:szCs w:val="20"/>
          <w:lang w:eastAsia="de-DE"/>
        </w:rPr>
        <w:t>Sabbaticals</w:t>
      </w:r>
      <w:proofErr w:type="spellEnd"/>
      <w:r w:rsidRPr="008A3FB3">
        <w:rPr>
          <w:rFonts w:ascii="Tahoma" w:eastAsia="Times New Roman" w:hAnsi="Tahoma" w:cs="Tahoma"/>
          <w:b/>
          <w:color w:val="666666"/>
          <w:sz w:val="20"/>
          <w:szCs w:val="20"/>
          <w:lang w:eastAsia="de-DE"/>
        </w:rPr>
        <w:t xml:space="preserve"> reduziert, wird die Jubiläumszuwendung von jenem Monatsbezug berechnet, den man erhalten würde, wenn man vollbeschäftigt wäre.</w:t>
      </w:r>
    </w:p>
    <w:p w:rsidR="0077046F" w:rsidRPr="008A3FB3" w:rsidRDefault="0077046F" w:rsidP="0077046F">
      <w:pPr>
        <w:numPr>
          <w:ilvl w:val="0"/>
          <w:numId w:val="2"/>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Die Jubiläumszuwendung für den teilbeschäftigten Vertragsbediensteten ist jedoch nach jenem Teil des seiner Einstufung entsprechenden Monatsentgeltes zu bemessen, der seinem durchschnittlichen Beschäftigungsausmaß in seinem bisherigen Dienstverhältnis entspricht.</w:t>
      </w:r>
    </w:p>
    <w:p w:rsidR="0077046F" w:rsidRPr="008A3FB3" w:rsidRDefault="0077046F" w:rsidP="0077046F">
      <w:pPr>
        <w:numPr>
          <w:ilvl w:val="0"/>
          <w:numId w:val="2"/>
        </w:numPr>
        <w:spacing w:before="100" w:beforeAutospacing="1" w:after="100" w:afterAutospacing="1" w:line="300" w:lineRule="atLeast"/>
        <w:ind w:left="-225"/>
        <w:rPr>
          <w:rFonts w:ascii="Arial" w:eastAsia="Times New Roman" w:hAnsi="Arial" w:cs="Arial"/>
          <w:b/>
          <w:color w:val="FF0000"/>
          <w:sz w:val="18"/>
          <w:szCs w:val="18"/>
          <w:lang w:eastAsia="de-DE"/>
        </w:rPr>
      </w:pPr>
      <w:r w:rsidRPr="008A3FB3">
        <w:rPr>
          <w:rFonts w:ascii="Tahoma" w:eastAsia="Times New Roman" w:hAnsi="Tahoma" w:cs="Tahoma"/>
          <w:b/>
          <w:color w:val="FF0000"/>
          <w:sz w:val="18"/>
          <w:szCs w:val="18"/>
          <w:lang w:eastAsia="de-DE"/>
        </w:rPr>
        <w:t>Die Jubiläumszuwendung im Ausmaß von 400 % des Monatsbezuges kann bereits ab einem Besoldungsdienstalter von 35 Jahren gewährt werden, wenn der Beamte</w:t>
      </w:r>
    </w:p>
    <w:p w:rsidR="0077046F" w:rsidRPr="008A3FB3" w:rsidRDefault="0077046F" w:rsidP="0077046F">
      <w:pPr>
        <w:numPr>
          <w:ilvl w:val="0"/>
          <w:numId w:val="3"/>
        </w:numPr>
        <w:spacing w:before="100" w:beforeAutospacing="1" w:after="100" w:afterAutospacing="1" w:line="300" w:lineRule="atLeast"/>
        <w:ind w:left="49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durch Tod aus dem Dienststand ausscheidet oder</w:t>
      </w:r>
    </w:p>
    <w:p w:rsidR="0077046F" w:rsidRPr="008A3FB3" w:rsidRDefault="0077046F" w:rsidP="0077046F">
      <w:pPr>
        <w:numPr>
          <w:ilvl w:val="0"/>
          <w:numId w:val="3"/>
        </w:numPr>
        <w:spacing w:before="100" w:beforeAutospacing="1" w:after="100" w:afterAutospacing="1" w:line="300" w:lineRule="atLeast"/>
        <w:ind w:left="49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lastRenderedPageBreak/>
        <w:t>in den Ruhestand tritt, sofern er das Regelpensionsalter erreicht hat.</w:t>
      </w:r>
    </w:p>
    <w:p w:rsidR="0077046F" w:rsidRPr="008A3FB3" w:rsidRDefault="0077046F" w:rsidP="0077046F">
      <w:pPr>
        <w:numPr>
          <w:ilvl w:val="0"/>
          <w:numId w:val="4"/>
        </w:numPr>
        <w:spacing w:before="100" w:beforeAutospacing="1" w:after="100" w:afterAutospacing="1" w:line="300" w:lineRule="atLeast"/>
        <w:ind w:left="-225"/>
        <w:rPr>
          <w:rFonts w:ascii="Arial" w:eastAsia="Times New Roman" w:hAnsi="Arial" w:cs="Arial"/>
          <w:b/>
          <w:color w:val="FF0000"/>
          <w:sz w:val="18"/>
          <w:szCs w:val="18"/>
          <w:lang w:eastAsia="de-DE"/>
        </w:rPr>
      </w:pPr>
      <w:r w:rsidRPr="008A3FB3">
        <w:rPr>
          <w:rFonts w:ascii="Tahoma" w:eastAsia="Times New Roman" w:hAnsi="Tahoma" w:cs="Tahoma"/>
          <w:b/>
          <w:color w:val="666666"/>
          <w:sz w:val="18"/>
          <w:szCs w:val="18"/>
          <w:lang w:eastAsia="de-DE"/>
        </w:rPr>
        <w:t xml:space="preserve">Für Beamtinnen und Beamte, die nach dem 1. Oktober 1952 geboren worden sind, liegt das </w:t>
      </w:r>
      <w:r w:rsidRPr="008A3FB3">
        <w:rPr>
          <w:rFonts w:ascii="Tahoma" w:eastAsia="Times New Roman" w:hAnsi="Tahoma" w:cs="Tahoma"/>
          <w:b/>
          <w:color w:val="FF0000"/>
          <w:sz w:val="18"/>
          <w:szCs w:val="18"/>
          <w:lang w:eastAsia="de-DE"/>
        </w:rPr>
        <w:t>Regelpensionsalter</w:t>
      </w:r>
      <w:r w:rsidRPr="008A3FB3">
        <w:rPr>
          <w:rFonts w:ascii="Tahoma" w:eastAsia="Times New Roman" w:hAnsi="Tahoma" w:cs="Tahoma"/>
          <w:b/>
          <w:color w:val="666666"/>
          <w:sz w:val="18"/>
          <w:szCs w:val="18"/>
          <w:lang w:eastAsia="de-DE"/>
        </w:rPr>
        <w:t xml:space="preserve"> im Sinn der Jubiläumszuwendung bei 65 Jahren. </w:t>
      </w:r>
      <w:r w:rsidRPr="008A3FB3">
        <w:rPr>
          <w:rFonts w:ascii="Tahoma" w:eastAsia="Times New Roman" w:hAnsi="Tahoma" w:cs="Tahoma"/>
          <w:b/>
          <w:color w:val="FF0000"/>
          <w:sz w:val="18"/>
          <w:szCs w:val="18"/>
          <w:lang w:eastAsia="de-DE"/>
        </w:rPr>
        <w:t>Für Vertragslehrerinnen, die nach dem 30. September 1957 geboren worden sind, liegt es bei 60 Jahren, für Vertragslehrer, die nach dem 30. September 1952 geboren worden sind, bei 65 Jahren.</w:t>
      </w:r>
    </w:p>
    <w:p w:rsidR="0077046F" w:rsidRPr="008A3FB3" w:rsidRDefault="0077046F" w:rsidP="0077046F">
      <w:pPr>
        <w:numPr>
          <w:ilvl w:val="0"/>
          <w:numId w:val="4"/>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In diesen Fällen ist</w:t>
      </w:r>
      <w:r w:rsidR="00965711" w:rsidRPr="008A3FB3">
        <w:rPr>
          <w:rFonts w:ascii="Tahoma" w:eastAsia="Times New Roman" w:hAnsi="Tahoma" w:cs="Tahoma"/>
          <w:b/>
          <w:color w:val="666666"/>
          <w:sz w:val="18"/>
          <w:szCs w:val="18"/>
          <w:lang w:eastAsia="de-DE"/>
        </w:rPr>
        <w:t xml:space="preserve"> </w:t>
      </w:r>
      <w:r w:rsidRPr="008A3FB3">
        <w:rPr>
          <w:rFonts w:ascii="Tahoma" w:eastAsia="Times New Roman" w:hAnsi="Tahoma" w:cs="Tahoma"/>
          <w:b/>
          <w:color w:val="666666"/>
          <w:sz w:val="18"/>
          <w:szCs w:val="18"/>
          <w:lang w:eastAsia="de-DE"/>
        </w:rPr>
        <w:t>der</w:t>
      </w:r>
      <w:r w:rsidR="00965711" w:rsidRPr="008A3FB3">
        <w:rPr>
          <w:rFonts w:ascii="Tahoma" w:eastAsia="Times New Roman" w:hAnsi="Tahoma" w:cs="Tahoma"/>
          <w:b/>
          <w:color w:val="666666"/>
          <w:sz w:val="18"/>
          <w:szCs w:val="18"/>
          <w:lang w:eastAsia="de-DE"/>
        </w:rPr>
        <w:t xml:space="preserve"> </w:t>
      </w:r>
      <w:r w:rsidRPr="008A3FB3">
        <w:rPr>
          <w:rFonts w:ascii="Tahoma" w:eastAsia="Times New Roman" w:hAnsi="Tahoma" w:cs="Tahoma"/>
          <w:b/>
          <w:color w:val="666666"/>
          <w:sz w:val="18"/>
          <w:szCs w:val="18"/>
          <w:lang w:eastAsia="de-DE"/>
        </w:rPr>
        <w:t>Jubiläumszuwendung</w:t>
      </w:r>
      <w:r w:rsidR="00965711" w:rsidRPr="008A3FB3">
        <w:rPr>
          <w:rFonts w:ascii="Tahoma" w:eastAsia="Times New Roman" w:hAnsi="Tahoma" w:cs="Tahoma"/>
          <w:b/>
          <w:color w:val="666666"/>
          <w:sz w:val="18"/>
          <w:szCs w:val="18"/>
          <w:lang w:eastAsia="de-DE"/>
        </w:rPr>
        <w:t xml:space="preserve"> </w:t>
      </w:r>
      <w:r w:rsidRPr="008A3FB3">
        <w:rPr>
          <w:rFonts w:ascii="Tahoma" w:eastAsia="Times New Roman" w:hAnsi="Tahoma" w:cs="Tahoma"/>
          <w:b/>
          <w:color w:val="666666"/>
          <w:sz w:val="18"/>
          <w:szCs w:val="18"/>
          <w:lang w:eastAsia="de-DE"/>
        </w:rPr>
        <w:t>der</w:t>
      </w:r>
      <w:r w:rsidR="00965711" w:rsidRPr="008A3FB3">
        <w:rPr>
          <w:rFonts w:ascii="Tahoma" w:eastAsia="Times New Roman" w:hAnsi="Tahoma" w:cs="Tahoma"/>
          <w:b/>
          <w:color w:val="666666"/>
          <w:sz w:val="18"/>
          <w:szCs w:val="18"/>
          <w:lang w:eastAsia="de-DE"/>
        </w:rPr>
        <w:t xml:space="preserve"> </w:t>
      </w:r>
      <w:r w:rsidRPr="008A3FB3">
        <w:rPr>
          <w:rFonts w:ascii="Tahoma" w:eastAsia="Times New Roman" w:hAnsi="Tahoma" w:cs="Tahoma"/>
          <w:b/>
          <w:color w:val="666666"/>
          <w:sz w:val="18"/>
          <w:szCs w:val="18"/>
          <w:lang w:eastAsia="de-DE"/>
        </w:rPr>
        <w:t>Monatsbezug im Zeitpunkt des Ausscheidens aus dem Dienststand zugrunde zu legen.</w:t>
      </w:r>
    </w:p>
    <w:p w:rsidR="0077046F" w:rsidRPr="008A3FB3" w:rsidRDefault="0077046F" w:rsidP="0077046F">
      <w:pPr>
        <w:numPr>
          <w:ilvl w:val="0"/>
          <w:numId w:val="4"/>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Hat der Beamte die Voraussetzung für die Gewährung einer Jubiläumszuwendung erfüllt und ist er gestorben, ehe die Jubiläumszuwendung ausgezahlt worden ist, so kann die Jubiläumszuwendung seinen versorgungsberechtigten Hinterbliebenen zur ungeteilten Hand ausgezahlt werden.</w:t>
      </w:r>
    </w:p>
    <w:p w:rsidR="0077046F" w:rsidRPr="008A3FB3" w:rsidRDefault="0077046F" w:rsidP="0077046F">
      <w:pPr>
        <w:numPr>
          <w:ilvl w:val="0"/>
          <w:numId w:val="4"/>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Die Jubiläumszuwendung ist im Monat Jänner oder Juli auszuzahlen, der dem Monat</w:t>
      </w:r>
      <w:r w:rsidRPr="008A3FB3">
        <w:rPr>
          <w:rFonts w:ascii="Arial" w:eastAsia="Times New Roman" w:hAnsi="Arial" w:cs="Arial"/>
          <w:b/>
          <w:color w:val="666666"/>
          <w:sz w:val="18"/>
          <w:szCs w:val="18"/>
          <w:lang w:eastAsia="de-DE"/>
        </w:rPr>
        <w:t xml:space="preserve"> </w:t>
      </w:r>
    </w:p>
    <w:p w:rsidR="0077046F" w:rsidRPr="008A3FB3" w:rsidRDefault="0077046F" w:rsidP="0077046F">
      <w:pPr>
        <w:numPr>
          <w:ilvl w:val="1"/>
          <w:numId w:val="4"/>
        </w:numPr>
        <w:spacing w:before="100" w:beforeAutospacing="1" w:after="100" w:afterAutospacing="1" w:line="300" w:lineRule="atLeast"/>
        <w:ind w:left="150"/>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der Vollendung des betreffenden Dienstjubiläums oder</w:t>
      </w:r>
    </w:p>
    <w:p w:rsidR="0077046F" w:rsidRPr="008A3FB3" w:rsidRDefault="0077046F" w:rsidP="0077046F">
      <w:pPr>
        <w:numPr>
          <w:ilvl w:val="1"/>
          <w:numId w:val="4"/>
        </w:numPr>
        <w:spacing w:before="100" w:beforeAutospacing="1" w:after="100" w:afterAutospacing="1" w:line="300" w:lineRule="atLeast"/>
        <w:ind w:left="150"/>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des Ausscheidens aus dem Dienststand</w:t>
      </w:r>
    </w:p>
    <w:p w:rsidR="0077046F" w:rsidRPr="008A3FB3" w:rsidRDefault="0077046F" w:rsidP="0077046F">
      <w:pPr>
        <w:spacing w:after="75" w:line="300" w:lineRule="auto"/>
        <w:rPr>
          <w:rFonts w:ascii="Arial" w:eastAsia="Times New Roman" w:hAnsi="Arial" w:cs="Arial"/>
          <w:b/>
          <w:color w:val="666666"/>
          <w:sz w:val="20"/>
          <w:szCs w:val="20"/>
          <w:lang w:eastAsia="de-DE"/>
        </w:rPr>
      </w:pPr>
      <w:r w:rsidRPr="008A3FB3">
        <w:rPr>
          <w:rFonts w:ascii="Tahoma" w:eastAsia="Times New Roman" w:hAnsi="Tahoma" w:cs="Tahoma"/>
          <w:b/>
          <w:color w:val="666666"/>
          <w:sz w:val="20"/>
          <w:szCs w:val="20"/>
          <w:lang w:eastAsia="de-DE"/>
        </w:rPr>
        <w:t xml:space="preserve">als nächster folgt. Scheidet jedoch der Beamte aus dem Dienstverhältnis aus, wird ein </w:t>
      </w:r>
      <w:bookmarkStart w:id="0" w:name="_GoBack"/>
      <w:r w:rsidRPr="008A3FB3">
        <w:rPr>
          <w:rFonts w:ascii="Tahoma" w:eastAsia="Times New Roman" w:hAnsi="Tahoma" w:cs="Tahoma"/>
          <w:b/>
          <w:color w:val="666666"/>
          <w:sz w:val="20"/>
          <w:szCs w:val="20"/>
          <w:lang w:eastAsia="de-DE"/>
        </w:rPr>
        <w:t xml:space="preserve">allfälliger Anspruch auf Jubiläumszuwendung spätestens mit dem Ausscheiden des </w:t>
      </w:r>
      <w:bookmarkEnd w:id="0"/>
      <w:r w:rsidRPr="008A3FB3">
        <w:rPr>
          <w:rFonts w:ascii="Tahoma" w:eastAsia="Times New Roman" w:hAnsi="Tahoma" w:cs="Tahoma"/>
          <w:b/>
          <w:color w:val="666666"/>
          <w:sz w:val="20"/>
          <w:szCs w:val="20"/>
          <w:lang w:eastAsia="de-DE"/>
        </w:rPr>
        <w:t>Beamten aus dem Dienstverhältnis fällig.</w:t>
      </w:r>
    </w:p>
    <w:p w:rsidR="0077046F" w:rsidRPr="008A3FB3" w:rsidRDefault="0077046F" w:rsidP="0077046F">
      <w:pPr>
        <w:numPr>
          <w:ilvl w:val="0"/>
          <w:numId w:val="5"/>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 xml:space="preserve">Wird das Dienstverhältnis vor Vollendung einer Dienstzeit von mindestens 35 Jahren durch den Tod des Beamten gelöst, so gebührt den Hinterbliebenen eine Zuwendung im Ausmaß von 150 % des Referenzbetrages gem. § 3 Abs. 4 </w:t>
      </w:r>
      <w:proofErr w:type="spellStart"/>
      <w:r w:rsidRPr="008A3FB3">
        <w:rPr>
          <w:rFonts w:ascii="Tahoma" w:eastAsia="Times New Roman" w:hAnsi="Tahoma" w:cs="Tahoma"/>
          <w:b/>
          <w:color w:val="666666"/>
          <w:sz w:val="18"/>
          <w:szCs w:val="18"/>
          <w:lang w:eastAsia="de-DE"/>
        </w:rPr>
        <w:t>GehG</w:t>
      </w:r>
      <w:proofErr w:type="spellEnd"/>
      <w:r w:rsidRPr="008A3FB3">
        <w:rPr>
          <w:rFonts w:ascii="Tahoma" w:eastAsia="Times New Roman" w:hAnsi="Tahoma" w:cs="Tahoma"/>
          <w:b/>
          <w:color w:val="666666"/>
          <w:sz w:val="18"/>
          <w:szCs w:val="18"/>
          <w:lang w:eastAsia="de-DE"/>
        </w:rPr>
        <w:t>. (Der Referenzbetrag liegt 2016 bei 2.463,76 Euro.) Mehreren Hinterbliebenen gebührt die Zuwendung zur ungeteilten Hand. Diese Bestimmung ist auf Vertragsbedienstete nicht anzuwenden.</w:t>
      </w:r>
    </w:p>
    <w:p w:rsidR="0077046F" w:rsidRPr="008A3FB3" w:rsidRDefault="0077046F" w:rsidP="0077046F">
      <w:pPr>
        <w:numPr>
          <w:ilvl w:val="0"/>
          <w:numId w:val="5"/>
        </w:numPr>
        <w:spacing w:before="100" w:beforeAutospacing="1" w:after="100" w:afterAutospacing="1" w:line="300" w:lineRule="atLeast"/>
        <w:ind w:left="-225"/>
        <w:rPr>
          <w:rFonts w:ascii="Arial" w:eastAsia="Times New Roman" w:hAnsi="Arial" w:cs="Arial"/>
          <w:b/>
          <w:color w:val="666666"/>
          <w:sz w:val="18"/>
          <w:szCs w:val="18"/>
          <w:lang w:eastAsia="de-DE"/>
        </w:rPr>
      </w:pPr>
      <w:r w:rsidRPr="008A3FB3">
        <w:rPr>
          <w:rFonts w:ascii="Tahoma" w:eastAsia="Times New Roman" w:hAnsi="Tahoma" w:cs="Tahoma"/>
          <w:b/>
          <w:color w:val="666666"/>
          <w:sz w:val="18"/>
          <w:szCs w:val="18"/>
          <w:lang w:eastAsia="de-DE"/>
        </w:rPr>
        <w:t>Auf die mit der Besoldungsreform 2015 übergeleiteten Bediensteten sind die Bestimmungen über die Jubiläumszuwendung mit der Maßgabe anzuwenden, dass an die Stelle des Erfordernisses der Vollendung eines Besoldungsdienstalters von 25 bzw. 40 oder 35 Jahren das Erfordernis des Erreichens jenes Tages tritt, der 25 bzw. 40 oder 35 Jahre nach dem bereits von der Dienstbehörde ermittelten Stichtag liegt.</w:t>
      </w:r>
    </w:p>
    <w:p w:rsidR="007A3DA9" w:rsidRDefault="007A3DA9" w:rsidP="007A3DA9"/>
    <w:p w:rsidR="007A3DA9" w:rsidRDefault="008A3FB3" w:rsidP="007A3DA9">
      <w:pPr>
        <w:jc w:val="right"/>
      </w:pPr>
      <w:r>
        <w:t xml:space="preserve">Peter </w:t>
      </w:r>
      <w:proofErr w:type="spellStart"/>
      <w:r>
        <w:t>Bleiweis</w:t>
      </w:r>
      <w:proofErr w:type="spellEnd"/>
      <w:r>
        <w:t xml:space="preserve">, </w:t>
      </w:r>
      <w:r w:rsidR="007A3DA9">
        <w:t>2019</w:t>
      </w:r>
    </w:p>
    <w:sectPr w:rsidR="007A3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E40"/>
    <w:multiLevelType w:val="multilevel"/>
    <w:tmpl w:val="21761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67FD9"/>
    <w:multiLevelType w:val="multilevel"/>
    <w:tmpl w:val="10528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901FF"/>
    <w:multiLevelType w:val="multilevel"/>
    <w:tmpl w:val="648E37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C7453"/>
    <w:multiLevelType w:val="multilevel"/>
    <w:tmpl w:val="B0449C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81364"/>
    <w:multiLevelType w:val="multilevel"/>
    <w:tmpl w:val="2EE0B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A9"/>
    <w:rsid w:val="004D12FF"/>
    <w:rsid w:val="0077046F"/>
    <w:rsid w:val="007A3DA9"/>
    <w:rsid w:val="008A3FB3"/>
    <w:rsid w:val="00965711"/>
    <w:rsid w:val="00B06A15"/>
    <w:rsid w:val="00BC1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9011">
      <w:bodyDiv w:val="1"/>
      <w:marLeft w:val="0"/>
      <w:marRight w:val="0"/>
      <w:marTop w:val="0"/>
      <w:marBottom w:val="0"/>
      <w:divBdr>
        <w:top w:val="none" w:sz="0" w:space="0" w:color="auto"/>
        <w:left w:val="none" w:sz="0" w:space="0" w:color="auto"/>
        <w:bottom w:val="none" w:sz="0" w:space="0" w:color="auto"/>
        <w:right w:val="none" w:sz="0" w:space="0" w:color="auto"/>
      </w:divBdr>
      <w:divsChild>
        <w:div w:id="1701471037">
          <w:marLeft w:val="0"/>
          <w:marRight w:val="0"/>
          <w:marTop w:val="0"/>
          <w:marBottom w:val="0"/>
          <w:divBdr>
            <w:top w:val="none" w:sz="0" w:space="0" w:color="auto"/>
            <w:left w:val="none" w:sz="0" w:space="0" w:color="auto"/>
            <w:bottom w:val="none" w:sz="0" w:space="0" w:color="auto"/>
            <w:right w:val="none" w:sz="0" w:space="0" w:color="auto"/>
          </w:divBdr>
          <w:divsChild>
            <w:div w:id="1823279698">
              <w:marLeft w:val="0"/>
              <w:marRight w:val="0"/>
              <w:marTop w:val="0"/>
              <w:marBottom w:val="0"/>
              <w:divBdr>
                <w:top w:val="none" w:sz="0" w:space="0" w:color="auto"/>
                <w:left w:val="none" w:sz="0" w:space="0" w:color="auto"/>
                <w:bottom w:val="none" w:sz="0" w:space="0" w:color="auto"/>
                <w:right w:val="none" w:sz="0" w:space="0" w:color="auto"/>
              </w:divBdr>
              <w:divsChild>
                <w:div w:id="1727492177">
                  <w:marLeft w:val="-600"/>
                  <w:marRight w:val="0"/>
                  <w:marTop w:val="0"/>
                  <w:marBottom w:val="0"/>
                  <w:divBdr>
                    <w:top w:val="none" w:sz="0" w:space="0" w:color="auto"/>
                    <w:left w:val="none" w:sz="0" w:space="0" w:color="auto"/>
                    <w:bottom w:val="none" w:sz="0" w:space="0" w:color="auto"/>
                    <w:right w:val="none" w:sz="0" w:space="0" w:color="auto"/>
                  </w:divBdr>
                  <w:divsChild>
                    <w:div w:id="469519134">
                      <w:marLeft w:val="0"/>
                      <w:marRight w:val="0"/>
                      <w:marTop w:val="0"/>
                      <w:marBottom w:val="0"/>
                      <w:divBdr>
                        <w:top w:val="none" w:sz="0" w:space="0" w:color="auto"/>
                        <w:left w:val="none" w:sz="0" w:space="0" w:color="auto"/>
                        <w:bottom w:val="none" w:sz="0" w:space="0" w:color="auto"/>
                        <w:right w:val="none" w:sz="0" w:space="0" w:color="auto"/>
                      </w:divBdr>
                      <w:divsChild>
                        <w:div w:id="1897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2920">
      <w:bodyDiv w:val="1"/>
      <w:marLeft w:val="0"/>
      <w:marRight w:val="0"/>
      <w:marTop w:val="0"/>
      <w:marBottom w:val="0"/>
      <w:divBdr>
        <w:top w:val="none" w:sz="0" w:space="0" w:color="auto"/>
        <w:left w:val="none" w:sz="0" w:space="0" w:color="auto"/>
        <w:bottom w:val="none" w:sz="0" w:space="0" w:color="auto"/>
        <w:right w:val="none" w:sz="0" w:space="0" w:color="auto"/>
      </w:divBdr>
      <w:divsChild>
        <w:div w:id="1888562872">
          <w:marLeft w:val="0"/>
          <w:marRight w:val="0"/>
          <w:marTop w:val="0"/>
          <w:marBottom w:val="0"/>
          <w:divBdr>
            <w:top w:val="none" w:sz="0" w:space="0" w:color="auto"/>
            <w:left w:val="none" w:sz="0" w:space="0" w:color="auto"/>
            <w:bottom w:val="none" w:sz="0" w:space="0" w:color="auto"/>
            <w:right w:val="none" w:sz="0" w:space="0" w:color="auto"/>
          </w:divBdr>
          <w:divsChild>
            <w:div w:id="2107653893">
              <w:marLeft w:val="0"/>
              <w:marRight w:val="0"/>
              <w:marTop w:val="0"/>
              <w:marBottom w:val="0"/>
              <w:divBdr>
                <w:top w:val="none" w:sz="0" w:space="0" w:color="auto"/>
                <w:left w:val="none" w:sz="0" w:space="0" w:color="auto"/>
                <w:bottom w:val="none" w:sz="0" w:space="0" w:color="auto"/>
                <w:right w:val="none" w:sz="0" w:space="0" w:color="auto"/>
              </w:divBdr>
            </w:div>
            <w:div w:id="831990572">
              <w:marLeft w:val="0"/>
              <w:marRight w:val="0"/>
              <w:marTop w:val="0"/>
              <w:marBottom w:val="0"/>
              <w:divBdr>
                <w:top w:val="none" w:sz="0" w:space="0" w:color="auto"/>
                <w:left w:val="none" w:sz="0" w:space="0" w:color="auto"/>
                <w:bottom w:val="none" w:sz="0" w:space="0" w:color="auto"/>
                <w:right w:val="none" w:sz="0" w:space="0" w:color="auto"/>
              </w:divBdr>
            </w:div>
            <w:div w:id="1134641347">
              <w:marLeft w:val="0"/>
              <w:marRight w:val="0"/>
              <w:marTop w:val="0"/>
              <w:marBottom w:val="0"/>
              <w:divBdr>
                <w:top w:val="none" w:sz="0" w:space="0" w:color="auto"/>
                <w:left w:val="none" w:sz="0" w:space="0" w:color="auto"/>
                <w:bottom w:val="none" w:sz="0" w:space="0" w:color="auto"/>
                <w:right w:val="none" w:sz="0" w:space="0" w:color="auto"/>
              </w:divBdr>
            </w:div>
            <w:div w:id="658003739">
              <w:marLeft w:val="0"/>
              <w:marRight w:val="0"/>
              <w:marTop w:val="0"/>
              <w:marBottom w:val="0"/>
              <w:divBdr>
                <w:top w:val="none" w:sz="0" w:space="0" w:color="auto"/>
                <w:left w:val="none" w:sz="0" w:space="0" w:color="auto"/>
                <w:bottom w:val="none" w:sz="0" w:space="0" w:color="auto"/>
                <w:right w:val="none" w:sz="0" w:space="0" w:color="auto"/>
              </w:divBdr>
            </w:div>
            <w:div w:id="1507986945">
              <w:marLeft w:val="0"/>
              <w:marRight w:val="0"/>
              <w:marTop w:val="0"/>
              <w:marBottom w:val="0"/>
              <w:divBdr>
                <w:top w:val="none" w:sz="0" w:space="0" w:color="auto"/>
                <w:left w:val="none" w:sz="0" w:space="0" w:color="auto"/>
                <w:bottom w:val="none" w:sz="0" w:space="0" w:color="auto"/>
                <w:right w:val="none" w:sz="0" w:space="0" w:color="auto"/>
              </w:divBdr>
            </w:div>
            <w:div w:id="13123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Peter.BLEIWEIS</dc:creator>
  <cp:lastModifiedBy>Bleiweis Peter</cp:lastModifiedBy>
  <cp:revision>2</cp:revision>
  <dcterms:created xsi:type="dcterms:W3CDTF">2019-08-05T14:35:00Z</dcterms:created>
  <dcterms:modified xsi:type="dcterms:W3CDTF">2019-08-05T14:35:00Z</dcterms:modified>
</cp:coreProperties>
</file>